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9F" w:rsidRDefault="002C569F" w:rsidP="00870FBA">
      <w:pPr>
        <w:spacing w:after="0" w:line="240" w:lineRule="auto"/>
        <w:jc w:val="center"/>
        <w:rPr>
          <w:sz w:val="40"/>
          <w:szCs w:val="40"/>
          <w:lang w:val="en-GB"/>
        </w:rPr>
      </w:pPr>
    </w:p>
    <w:p w:rsidR="002C569F" w:rsidRDefault="002C569F" w:rsidP="00870FBA">
      <w:pPr>
        <w:spacing w:after="0" w:line="240" w:lineRule="auto"/>
        <w:jc w:val="center"/>
        <w:rPr>
          <w:sz w:val="40"/>
          <w:szCs w:val="40"/>
          <w:lang w:val="en-GB"/>
        </w:rPr>
      </w:pPr>
    </w:p>
    <w:p w:rsidR="003B4ACF" w:rsidRDefault="003B4ACF" w:rsidP="003B4ACF">
      <w:pPr>
        <w:spacing w:after="0" w:line="240" w:lineRule="auto"/>
        <w:rPr>
          <w:sz w:val="40"/>
          <w:szCs w:val="40"/>
          <w:lang w:val="en-GB"/>
        </w:rPr>
      </w:pPr>
    </w:p>
    <w:p w:rsidR="00C10BE2" w:rsidRDefault="00C10BE2" w:rsidP="00870FBA">
      <w:pPr>
        <w:spacing w:after="0" w:line="240" w:lineRule="auto"/>
        <w:jc w:val="center"/>
        <w:rPr>
          <w:sz w:val="40"/>
          <w:szCs w:val="40"/>
          <w:lang w:val="en-GB"/>
        </w:rPr>
      </w:pPr>
      <w:r>
        <w:rPr>
          <w:sz w:val="40"/>
          <w:szCs w:val="40"/>
          <w:lang w:val="en-GB"/>
        </w:rPr>
        <w:t>W</w:t>
      </w:r>
      <w:r w:rsidR="00660A18">
        <w:rPr>
          <w:sz w:val="40"/>
          <w:szCs w:val="40"/>
          <w:lang w:val="en-GB"/>
        </w:rPr>
        <w:t>hither “Decentralization?</w:t>
      </w:r>
      <w:r w:rsidR="00870FBA" w:rsidRPr="00B26142">
        <w:rPr>
          <w:sz w:val="40"/>
          <w:szCs w:val="40"/>
          <w:lang w:val="en-GB"/>
        </w:rPr>
        <w:t xml:space="preserve">” </w:t>
      </w:r>
    </w:p>
    <w:p w:rsidR="00870FBA" w:rsidRPr="00B26142" w:rsidRDefault="00870FBA" w:rsidP="00870FBA">
      <w:pPr>
        <w:spacing w:after="0" w:line="240" w:lineRule="auto"/>
        <w:jc w:val="center"/>
        <w:rPr>
          <w:sz w:val="40"/>
          <w:szCs w:val="40"/>
          <w:lang w:val="en-GB"/>
        </w:rPr>
      </w:pPr>
      <w:r w:rsidRPr="00B26142">
        <w:rPr>
          <w:sz w:val="40"/>
          <w:szCs w:val="40"/>
          <w:lang w:val="en-GB"/>
        </w:rPr>
        <w:t>Local Government</w:t>
      </w:r>
      <w:r>
        <w:rPr>
          <w:sz w:val="40"/>
          <w:szCs w:val="40"/>
          <w:lang w:val="en-GB"/>
        </w:rPr>
        <w:t xml:space="preserve"> Finance</w:t>
      </w:r>
      <w:r w:rsidRPr="00B26142">
        <w:rPr>
          <w:sz w:val="40"/>
          <w:szCs w:val="40"/>
          <w:lang w:val="en-GB"/>
        </w:rPr>
        <w:t xml:space="preserve"> Reform,</w:t>
      </w:r>
    </w:p>
    <w:p w:rsidR="00870FBA" w:rsidRPr="00B26142" w:rsidRDefault="00870FBA" w:rsidP="00870FBA">
      <w:pPr>
        <w:spacing w:after="0" w:line="240" w:lineRule="auto"/>
        <w:jc w:val="center"/>
        <w:rPr>
          <w:sz w:val="40"/>
          <w:szCs w:val="40"/>
          <w:lang w:val="en-GB"/>
        </w:rPr>
      </w:pPr>
      <w:proofErr w:type="gramStart"/>
      <w:r>
        <w:rPr>
          <w:sz w:val="40"/>
          <w:szCs w:val="40"/>
          <w:lang w:val="en-GB"/>
        </w:rPr>
        <w:t>a</w:t>
      </w:r>
      <w:r w:rsidRPr="00B26142">
        <w:rPr>
          <w:sz w:val="40"/>
          <w:szCs w:val="40"/>
          <w:lang w:val="en-GB"/>
        </w:rPr>
        <w:t>nd</w:t>
      </w:r>
      <w:proofErr w:type="gramEnd"/>
      <w:r w:rsidRPr="00B26142">
        <w:rPr>
          <w:sz w:val="40"/>
          <w:szCs w:val="40"/>
          <w:lang w:val="en-GB"/>
        </w:rPr>
        <w:t xml:space="preserve"> the Restructuring of Ukraine’s Public Sector</w:t>
      </w:r>
    </w:p>
    <w:p w:rsidR="00870FBA" w:rsidRDefault="00870FBA" w:rsidP="00870FBA">
      <w:pPr>
        <w:jc w:val="center"/>
        <w:rPr>
          <w:sz w:val="40"/>
          <w:szCs w:val="40"/>
          <w:lang w:val="en-GB"/>
        </w:rPr>
      </w:pPr>
      <w:r w:rsidRPr="00C3698B">
        <w:rPr>
          <w:sz w:val="40"/>
          <w:szCs w:val="40"/>
          <w:lang w:val="en-GB"/>
        </w:rPr>
        <w:t>2014 to 2016</w:t>
      </w:r>
    </w:p>
    <w:p w:rsidR="002C569F" w:rsidRDefault="002C569F" w:rsidP="00870FBA">
      <w:pPr>
        <w:jc w:val="center"/>
        <w:rPr>
          <w:sz w:val="40"/>
          <w:szCs w:val="40"/>
          <w:lang w:val="en-GB"/>
        </w:rPr>
      </w:pPr>
    </w:p>
    <w:p w:rsidR="002C569F" w:rsidRDefault="002C569F" w:rsidP="002C569F">
      <w:pPr>
        <w:spacing w:after="0"/>
        <w:jc w:val="center"/>
        <w:rPr>
          <w:sz w:val="28"/>
          <w:szCs w:val="28"/>
          <w:lang w:val="en-GB"/>
        </w:rPr>
      </w:pPr>
      <w:r w:rsidRPr="002C569F">
        <w:rPr>
          <w:sz w:val="28"/>
          <w:szCs w:val="28"/>
          <w:lang w:val="en-GB"/>
        </w:rPr>
        <w:t>Tony Levitas</w:t>
      </w:r>
    </w:p>
    <w:p w:rsidR="002C569F" w:rsidRDefault="002C569F" w:rsidP="002C569F">
      <w:pPr>
        <w:spacing w:after="0"/>
        <w:jc w:val="center"/>
        <w:rPr>
          <w:sz w:val="28"/>
          <w:szCs w:val="28"/>
          <w:lang w:val="en-GB"/>
        </w:rPr>
      </w:pPr>
      <w:r>
        <w:rPr>
          <w:sz w:val="28"/>
          <w:szCs w:val="28"/>
          <w:lang w:val="en-GB"/>
        </w:rPr>
        <w:t>Anthony_Levitas@Brown.edu</w:t>
      </w:r>
    </w:p>
    <w:p w:rsidR="002C569F" w:rsidRPr="002C569F" w:rsidRDefault="002C569F" w:rsidP="002C569F">
      <w:pPr>
        <w:spacing w:after="0"/>
        <w:jc w:val="center"/>
        <w:rPr>
          <w:sz w:val="28"/>
          <w:szCs w:val="28"/>
          <w:lang w:val="en-GB"/>
        </w:rPr>
      </w:pPr>
      <w:r w:rsidRPr="002C569F">
        <w:rPr>
          <w:sz w:val="28"/>
          <w:szCs w:val="28"/>
          <w:lang w:val="en-GB"/>
        </w:rPr>
        <w:t>Watson Institute for International and Public Affairs</w:t>
      </w:r>
    </w:p>
    <w:p w:rsidR="002C569F" w:rsidRPr="002C569F" w:rsidRDefault="002C569F" w:rsidP="002C569F">
      <w:pPr>
        <w:spacing w:after="0"/>
        <w:jc w:val="center"/>
        <w:rPr>
          <w:sz w:val="28"/>
          <w:szCs w:val="28"/>
          <w:lang w:val="en-GB"/>
        </w:rPr>
      </w:pPr>
      <w:r w:rsidRPr="002C569F">
        <w:rPr>
          <w:sz w:val="28"/>
          <w:szCs w:val="28"/>
          <w:lang w:val="en-GB"/>
        </w:rPr>
        <w:t>Brown University</w:t>
      </w:r>
    </w:p>
    <w:p w:rsidR="002C569F" w:rsidRPr="002C569F" w:rsidRDefault="002C569F" w:rsidP="002C569F">
      <w:pPr>
        <w:spacing w:after="0"/>
        <w:jc w:val="center"/>
        <w:rPr>
          <w:sz w:val="28"/>
          <w:szCs w:val="28"/>
          <w:lang w:val="en-GB"/>
        </w:rPr>
      </w:pPr>
      <w:r w:rsidRPr="002C569F">
        <w:rPr>
          <w:sz w:val="28"/>
          <w:szCs w:val="28"/>
          <w:lang w:val="en-GB"/>
        </w:rPr>
        <w:t>October 2017</w:t>
      </w:r>
    </w:p>
    <w:p w:rsidR="002C569F" w:rsidRDefault="002C569F" w:rsidP="00870FBA">
      <w:pPr>
        <w:jc w:val="center"/>
        <w:rPr>
          <w:sz w:val="40"/>
          <w:szCs w:val="40"/>
          <w:lang w:val="en-GB"/>
        </w:rPr>
      </w:pPr>
    </w:p>
    <w:p w:rsidR="002C569F" w:rsidRDefault="002C569F">
      <w:pPr>
        <w:rPr>
          <w:sz w:val="40"/>
          <w:szCs w:val="40"/>
          <w:lang w:val="en-GB"/>
        </w:rPr>
      </w:pPr>
    </w:p>
    <w:p w:rsidR="002C569F" w:rsidRDefault="002C569F">
      <w:pPr>
        <w:rPr>
          <w:sz w:val="40"/>
          <w:szCs w:val="40"/>
          <w:lang w:val="en-GB"/>
        </w:rPr>
      </w:pPr>
    </w:p>
    <w:p w:rsidR="002C569F" w:rsidRDefault="002C569F" w:rsidP="00C10BE2">
      <w:pPr>
        <w:jc w:val="both"/>
        <w:rPr>
          <w:sz w:val="40"/>
          <w:szCs w:val="40"/>
          <w:lang w:val="en-GB"/>
        </w:rPr>
      </w:pPr>
      <w:r>
        <w:rPr>
          <w:sz w:val="24"/>
          <w:szCs w:val="24"/>
          <w:lang w:val="en-GB"/>
        </w:rPr>
        <w:t xml:space="preserve">This paper </w:t>
      </w:r>
      <w:r w:rsidR="00660A18">
        <w:rPr>
          <w:sz w:val="24"/>
          <w:szCs w:val="24"/>
          <w:lang w:val="en-GB"/>
        </w:rPr>
        <w:t>is a summary</w:t>
      </w:r>
      <w:r>
        <w:rPr>
          <w:sz w:val="24"/>
          <w:szCs w:val="24"/>
          <w:lang w:val="en-GB"/>
        </w:rPr>
        <w:t xml:space="preserve"> of a </w:t>
      </w:r>
      <w:r w:rsidR="005C5A04">
        <w:rPr>
          <w:sz w:val="24"/>
          <w:szCs w:val="24"/>
          <w:lang w:val="en-GB"/>
        </w:rPr>
        <w:t xml:space="preserve">report </w:t>
      </w:r>
      <w:r>
        <w:rPr>
          <w:sz w:val="24"/>
          <w:szCs w:val="24"/>
          <w:lang w:val="en-GB"/>
        </w:rPr>
        <w:t xml:space="preserve">written for the Ukrainian Ministry of Regional Development in June </w:t>
      </w:r>
      <w:r w:rsidR="009D521E">
        <w:rPr>
          <w:sz w:val="24"/>
          <w:szCs w:val="24"/>
          <w:lang w:val="en-GB"/>
        </w:rPr>
        <w:t>2017</w:t>
      </w:r>
      <w:r w:rsidR="00C10BE2">
        <w:rPr>
          <w:sz w:val="24"/>
          <w:szCs w:val="24"/>
          <w:lang w:val="en-GB"/>
        </w:rPr>
        <w:t>. The</w:t>
      </w:r>
      <w:r w:rsidR="005C5A04">
        <w:rPr>
          <w:sz w:val="24"/>
          <w:szCs w:val="24"/>
          <w:lang w:val="en-GB"/>
        </w:rPr>
        <w:t xml:space="preserve"> </w:t>
      </w:r>
      <w:r w:rsidR="009D521E">
        <w:rPr>
          <w:sz w:val="24"/>
          <w:szCs w:val="24"/>
          <w:lang w:val="en-GB"/>
        </w:rPr>
        <w:t>report</w:t>
      </w:r>
      <w:r w:rsidR="00660A18">
        <w:rPr>
          <w:sz w:val="24"/>
          <w:szCs w:val="24"/>
          <w:lang w:val="en-GB"/>
        </w:rPr>
        <w:t>,</w:t>
      </w:r>
      <w:r w:rsidR="009D521E">
        <w:rPr>
          <w:sz w:val="24"/>
          <w:szCs w:val="24"/>
          <w:lang w:val="en-GB"/>
        </w:rPr>
        <w:t xml:space="preserve"> </w:t>
      </w:r>
      <w:r w:rsidR="00C10BE2">
        <w:rPr>
          <w:sz w:val="24"/>
          <w:szCs w:val="24"/>
          <w:lang w:val="en-GB"/>
        </w:rPr>
        <w:t>“Caught Mid-Stream:</w:t>
      </w:r>
      <w:r w:rsidR="00C10BE2" w:rsidRPr="00C10BE2">
        <w:t xml:space="preserve"> </w:t>
      </w:r>
      <w:r w:rsidR="00C10BE2" w:rsidRPr="00C10BE2">
        <w:rPr>
          <w:sz w:val="24"/>
          <w:szCs w:val="24"/>
          <w:lang w:val="en-GB"/>
        </w:rPr>
        <w:t>Local Government Finance Reform,</w:t>
      </w:r>
      <w:r w:rsidR="00C10BE2">
        <w:rPr>
          <w:sz w:val="24"/>
          <w:szCs w:val="24"/>
          <w:lang w:val="en-GB"/>
        </w:rPr>
        <w:t xml:space="preserve"> </w:t>
      </w:r>
      <w:r w:rsidR="00C10BE2" w:rsidRPr="00C10BE2">
        <w:rPr>
          <w:sz w:val="24"/>
          <w:szCs w:val="24"/>
          <w:lang w:val="en-GB"/>
        </w:rPr>
        <w:t>and the Restructuring of Ukraine’s Public Sector</w:t>
      </w:r>
      <w:r w:rsidR="00C10BE2">
        <w:rPr>
          <w:sz w:val="24"/>
          <w:szCs w:val="24"/>
          <w:lang w:val="en-GB"/>
        </w:rPr>
        <w:t xml:space="preserve"> </w:t>
      </w:r>
      <w:r w:rsidR="00C10BE2" w:rsidRPr="00C10BE2">
        <w:rPr>
          <w:sz w:val="24"/>
          <w:szCs w:val="24"/>
          <w:lang w:val="en-GB"/>
        </w:rPr>
        <w:t>2014 to 2016</w:t>
      </w:r>
      <w:r w:rsidR="00C10BE2">
        <w:rPr>
          <w:sz w:val="24"/>
          <w:szCs w:val="24"/>
          <w:lang w:val="en-GB"/>
        </w:rPr>
        <w:t>”</w:t>
      </w:r>
      <w:r w:rsidR="009D521E">
        <w:rPr>
          <w:sz w:val="24"/>
          <w:szCs w:val="24"/>
          <w:lang w:val="en-GB"/>
        </w:rPr>
        <w:t xml:space="preserve"> was co-authored with </w:t>
      </w:r>
      <w:proofErr w:type="spellStart"/>
      <w:r w:rsidR="009D521E">
        <w:rPr>
          <w:sz w:val="24"/>
          <w:szCs w:val="24"/>
          <w:lang w:val="en-GB"/>
        </w:rPr>
        <w:t>Jasmina</w:t>
      </w:r>
      <w:proofErr w:type="spellEnd"/>
      <w:r w:rsidR="009D521E">
        <w:rPr>
          <w:sz w:val="24"/>
          <w:szCs w:val="24"/>
          <w:lang w:val="en-GB"/>
        </w:rPr>
        <w:t xml:space="preserve"> </w:t>
      </w:r>
      <w:proofErr w:type="spellStart"/>
      <w:r w:rsidR="009D521E">
        <w:rPr>
          <w:sz w:val="24"/>
          <w:szCs w:val="24"/>
          <w:lang w:val="en-GB"/>
        </w:rPr>
        <w:t>Djikic</w:t>
      </w:r>
      <w:proofErr w:type="spellEnd"/>
      <w:r w:rsidR="009D521E">
        <w:rPr>
          <w:sz w:val="24"/>
          <w:szCs w:val="24"/>
          <w:lang w:val="en-GB"/>
        </w:rPr>
        <w:t xml:space="preserve"> and financed by the Swedish International Development Agency under </w:t>
      </w:r>
      <w:r w:rsidR="001D48F7">
        <w:rPr>
          <w:sz w:val="24"/>
          <w:szCs w:val="24"/>
          <w:lang w:val="en-GB"/>
        </w:rPr>
        <w:t xml:space="preserve">the project </w:t>
      </w:r>
      <w:r w:rsidR="009D521E">
        <w:rPr>
          <w:sz w:val="24"/>
          <w:szCs w:val="24"/>
          <w:lang w:val="en-GB"/>
        </w:rPr>
        <w:t>“Support for Dece</w:t>
      </w:r>
      <w:r w:rsidR="001D48F7">
        <w:rPr>
          <w:sz w:val="24"/>
          <w:szCs w:val="24"/>
          <w:lang w:val="en-GB"/>
        </w:rPr>
        <w:t>ntralization in Ukraine”</w:t>
      </w:r>
      <w:r w:rsidR="00C505D4">
        <w:rPr>
          <w:sz w:val="24"/>
          <w:szCs w:val="24"/>
          <w:lang w:val="en-GB"/>
        </w:rPr>
        <w:t xml:space="preserve">. </w:t>
      </w:r>
      <w:r w:rsidR="001D48F7">
        <w:rPr>
          <w:sz w:val="24"/>
          <w:szCs w:val="24"/>
          <w:lang w:val="en-GB"/>
        </w:rPr>
        <w:t>The report i</w:t>
      </w:r>
      <w:r w:rsidR="009D521E">
        <w:rPr>
          <w:sz w:val="24"/>
          <w:szCs w:val="24"/>
          <w:lang w:val="en-GB"/>
        </w:rPr>
        <w:t xml:space="preserve">s based on the analysis of three years of </w:t>
      </w:r>
      <w:r w:rsidR="00C10BE2">
        <w:rPr>
          <w:sz w:val="24"/>
          <w:szCs w:val="24"/>
          <w:lang w:val="en-GB"/>
        </w:rPr>
        <w:t>subnational revenue and expenditure</w:t>
      </w:r>
      <w:r w:rsidR="009D521E">
        <w:rPr>
          <w:sz w:val="24"/>
          <w:szCs w:val="24"/>
          <w:lang w:val="en-GB"/>
        </w:rPr>
        <w:t xml:space="preserve"> </w:t>
      </w:r>
      <w:r w:rsidR="00C10BE2">
        <w:rPr>
          <w:sz w:val="24"/>
          <w:szCs w:val="24"/>
          <w:lang w:val="en-GB"/>
        </w:rPr>
        <w:t>data</w:t>
      </w:r>
      <w:r w:rsidR="009D521E">
        <w:rPr>
          <w:sz w:val="24"/>
          <w:szCs w:val="24"/>
          <w:lang w:val="en-GB"/>
        </w:rPr>
        <w:t xml:space="preserve"> drawn directly from Ukraine’s Treasury system</w:t>
      </w:r>
      <w:r w:rsidR="00C10BE2">
        <w:rPr>
          <w:sz w:val="24"/>
          <w:szCs w:val="24"/>
          <w:lang w:val="en-GB"/>
        </w:rPr>
        <w:t xml:space="preserve"> and covers in much greater deta</w:t>
      </w:r>
      <w:r w:rsidR="001D48F7">
        <w:rPr>
          <w:sz w:val="24"/>
          <w:szCs w:val="24"/>
          <w:lang w:val="en-GB"/>
        </w:rPr>
        <w:t>il the evolution of the country’</w:t>
      </w:r>
      <w:r w:rsidR="00C10BE2">
        <w:rPr>
          <w:sz w:val="24"/>
          <w:szCs w:val="24"/>
          <w:lang w:val="en-GB"/>
        </w:rPr>
        <w:t>s intergovernmental finance system since 2014. Neither the report, nor this paper</w:t>
      </w:r>
      <w:r w:rsidR="001D48F7">
        <w:rPr>
          <w:sz w:val="24"/>
          <w:szCs w:val="24"/>
          <w:lang w:val="en-GB"/>
        </w:rPr>
        <w:t xml:space="preserve"> could </w:t>
      </w:r>
      <w:r w:rsidR="009D521E">
        <w:rPr>
          <w:sz w:val="24"/>
          <w:szCs w:val="24"/>
          <w:lang w:val="en-GB"/>
        </w:rPr>
        <w:t>have been written</w:t>
      </w:r>
      <w:r w:rsidR="009D521E" w:rsidRPr="009D521E">
        <w:rPr>
          <w:sz w:val="24"/>
          <w:szCs w:val="24"/>
        </w:rPr>
        <w:t xml:space="preserve"> </w:t>
      </w:r>
      <w:r w:rsidR="009D521E">
        <w:rPr>
          <w:sz w:val="24"/>
          <w:szCs w:val="24"/>
        </w:rPr>
        <w:t xml:space="preserve">without the technical support and comments of Katya </w:t>
      </w:r>
      <w:proofErr w:type="spellStart"/>
      <w:r w:rsidR="009D521E">
        <w:rPr>
          <w:sz w:val="24"/>
          <w:szCs w:val="24"/>
        </w:rPr>
        <w:t>Maynzyuk</w:t>
      </w:r>
      <w:proofErr w:type="spellEnd"/>
      <w:r w:rsidR="009D521E">
        <w:rPr>
          <w:sz w:val="24"/>
          <w:szCs w:val="24"/>
        </w:rPr>
        <w:t xml:space="preserve">, </w:t>
      </w:r>
      <w:proofErr w:type="spellStart"/>
      <w:r w:rsidR="009D521E">
        <w:rPr>
          <w:sz w:val="24"/>
          <w:szCs w:val="24"/>
        </w:rPr>
        <w:t>Yurij</w:t>
      </w:r>
      <w:proofErr w:type="spellEnd"/>
      <w:r w:rsidR="009D521E">
        <w:rPr>
          <w:sz w:val="24"/>
          <w:szCs w:val="24"/>
        </w:rPr>
        <w:t xml:space="preserve"> </w:t>
      </w:r>
      <w:proofErr w:type="spellStart"/>
      <w:r w:rsidR="009D521E">
        <w:rPr>
          <w:sz w:val="24"/>
          <w:szCs w:val="24"/>
        </w:rPr>
        <w:t>Dzgyhr</w:t>
      </w:r>
      <w:proofErr w:type="spellEnd"/>
      <w:r w:rsidR="009D521E">
        <w:rPr>
          <w:sz w:val="24"/>
          <w:szCs w:val="24"/>
        </w:rPr>
        <w:t xml:space="preserve">, </w:t>
      </w:r>
      <w:proofErr w:type="spellStart"/>
      <w:r w:rsidR="009D521E">
        <w:rPr>
          <w:sz w:val="24"/>
          <w:szCs w:val="24"/>
        </w:rPr>
        <w:t>Ieva</w:t>
      </w:r>
      <w:proofErr w:type="spellEnd"/>
      <w:r w:rsidR="009D521E">
        <w:rPr>
          <w:sz w:val="24"/>
          <w:szCs w:val="24"/>
        </w:rPr>
        <w:t xml:space="preserve"> </w:t>
      </w:r>
      <w:proofErr w:type="spellStart"/>
      <w:r w:rsidR="009D521E">
        <w:rPr>
          <w:sz w:val="24"/>
          <w:szCs w:val="24"/>
        </w:rPr>
        <w:t>Kalnina</w:t>
      </w:r>
      <w:proofErr w:type="spellEnd"/>
      <w:r w:rsidR="009D521E">
        <w:rPr>
          <w:sz w:val="24"/>
          <w:szCs w:val="24"/>
        </w:rPr>
        <w:t xml:space="preserve">, Jan </w:t>
      </w:r>
      <w:proofErr w:type="spellStart"/>
      <w:r w:rsidR="009D521E">
        <w:rPr>
          <w:sz w:val="24"/>
          <w:szCs w:val="24"/>
        </w:rPr>
        <w:t>Herczynski</w:t>
      </w:r>
      <w:proofErr w:type="spellEnd"/>
      <w:r w:rsidR="009D521E">
        <w:rPr>
          <w:sz w:val="24"/>
          <w:szCs w:val="24"/>
        </w:rPr>
        <w:t xml:space="preserve">, </w:t>
      </w:r>
      <w:proofErr w:type="spellStart"/>
      <w:r w:rsidR="009D521E">
        <w:rPr>
          <w:sz w:val="24"/>
          <w:szCs w:val="24"/>
        </w:rPr>
        <w:t>Kostya</w:t>
      </w:r>
      <w:proofErr w:type="spellEnd"/>
      <w:r w:rsidR="009D521E">
        <w:rPr>
          <w:sz w:val="24"/>
          <w:szCs w:val="24"/>
        </w:rPr>
        <w:t xml:space="preserve"> </w:t>
      </w:r>
      <w:proofErr w:type="spellStart"/>
      <w:r w:rsidR="009D521E">
        <w:rPr>
          <w:sz w:val="24"/>
          <w:szCs w:val="24"/>
        </w:rPr>
        <w:t>Gavrylov</w:t>
      </w:r>
      <w:proofErr w:type="spellEnd"/>
      <w:r w:rsidR="009D521E">
        <w:rPr>
          <w:sz w:val="24"/>
          <w:szCs w:val="24"/>
        </w:rPr>
        <w:t xml:space="preserve">, and Anatoli </w:t>
      </w:r>
      <w:proofErr w:type="spellStart"/>
      <w:r w:rsidR="009D521E">
        <w:rPr>
          <w:sz w:val="24"/>
          <w:szCs w:val="24"/>
        </w:rPr>
        <w:t>T</w:t>
      </w:r>
      <w:r w:rsidR="009D521E" w:rsidRPr="00027E90">
        <w:rPr>
          <w:sz w:val="24"/>
          <w:szCs w:val="24"/>
        </w:rPr>
        <w:t>kac</w:t>
      </w:r>
      <w:r w:rsidR="009D521E">
        <w:rPr>
          <w:sz w:val="24"/>
          <w:szCs w:val="24"/>
        </w:rPr>
        <w:t>h</w:t>
      </w:r>
      <w:r w:rsidR="009D521E" w:rsidRPr="00027E90">
        <w:rPr>
          <w:sz w:val="24"/>
          <w:szCs w:val="24"/>
        </w:rPr>
        <w:t>uk</w:t>
      </w:r>
      <w:proofErr w:type="spellEnd"/>
      <w:r w:rsidR="009D521E">
        <w:rPr>
          <w:sz w:val="24"/>
          <w:szCs w:val="24"/>
        </w:rPr>
        <w:t>.  All errors of fact and interpretation, however, are our own and the views expressed do not reflect either those of the Ministry of Regional Development or SIDA.</w:t>
      </w:r>
      <w:r>
        <w:rPr>
          <w:sz w:val="40"/>
          <w:szCs w:val="40"/>
          <w:lang w:val="en-GB"/>
        </w:rPr>
        <w:br w:type="page"/>
      </w:r>
    </w:p>
    <w:p w:rsidR="005B2F58" w:rsidRDefault="005B2F58" w:rsidP="00870FBA">
      <w:pPr>
        <w:jc w:val="both"/>
        <w:rPr>
          <w:b/>
          <w:sz w:val="24"/>
          <w:szCs w:val="24"/>
        </w:rPr>
      </w:pPr>
      <w:r w:rsidRPr="005B2F58">
        <w:rPr>
          <w:b/>
          <w:sz w:val="24"/>
          <w:szCs w:val="24"/>
        </w:rPr>
        <w:lastRenderedPageBreak/>
        <w:t>Introduction:</w:t>
      </w:r>
    </w:p>
    <w:p w:rsidR="00AA150E" w:rsidRDefault="009C39E4" w:rsidP="00870FBA">
      <w:pPr>
        <w:jc w:val="both"/>
        <w:rPr>
          <w:sz w:val="24"/>
          <w:szCs w:val="24"/>
        </w:rPr>
      </w:pPr>
      <w:r>
        <w:rPr>
          <w:sz w:val="24"/>
          <w:szCs w:val="24"/>
        </w:rPr>
        <w:t xml:space="preserve">In May 2014, Ukraine’s newly elected president Petro Poroshenko, declared that his government would put “decentralization” at the top of its political agenda. </w:t>
      </w:r>
      <w:r w:rsidR="00F22045">
        <w:rPr>
          <w:sz w:val="24"/>
          <w:szCs w:val="24"/>
        </w:rPr>
        <w:t>This</w:t>
      </w:r>
      <w:r>
        <w:rPr>
          <w:sz w:val="24"/>
          <w:szCs w:val="24"/>
        </w:rPr>
        <w:t xml:space="preserve"> declaration </w:t>
      </w:r>
      <w:r w:rsidR="008F32C1">
        <w:rPr>
          <w:sz w:val="24"/>
          <w:szCs w:val="24"/>
        </w:rPr>
        <w:t xml:space="preserve">followed </w:t>
      </w:r>
      <w:r>
        <w:rPr>
          <w:sz w:val="24"/>
          <w:szCs w:val="24"/>
        </w:rPr>
        <w:t>Russia</w:t>
      </w:r>
      <w:r w:rsidR="001D48F7">
        <w:rPr>
          <w:sz w:val="24"/>
          <w:szCs w:val="24"/>
        </w:rPr>
        <w:t>’s</w:t>
      </w:r>
      <w:r>
        <w:rPr>
          <w:sz w:val="24"/>
          <w:szCs w:val="24"/>
        </w:rPr>
        <w:t xml:space="preserve"> </w:t>
      </w:r>
      <w:r w:rsidR="008F32C1">
        <w:rPr>
          <w:sz w:val="24"/>
          <w:szCs w:val="24"/>
        </w:rPr>
        <w:t xml:space="preserve">annexation of Crimea and </w:t>
      </w:r>
      <w:r w:rsidR="006266AE">
        <w:rPr>
          <w:sz w:val="24"/>
          <w:szCs w:val="24"/>
        </w:rPr>
        <w:t>--</w:t>
      </w:r>
      <w:r w:rsidR="008F32C1">
        <w:rPr>
          <w:sz w:val="24"/>
          <w:szCs w:val="24"/>
        </w:rPr>
        <w:t>more immediately</w:t>
      </w:r>
      <w:r w:rsidR="006266AE">
        <w:rPr>
          <w:sz w:val="24"/>
          <w:szCs w:val="24"/>
        </w:rPr>
        <w:t>--</w:t>
      </w:r>
      <w:r w:rsidR="008F32C1">
        <w:rPr>
          <w:sz w:val="24"/>
          <w:szCs w:val="24"/>
        </w:rPr>
        <w:t xml:space="preserve"> it’s </w:t>
      </w:r>
      <w:r>
        <w:rPr>
          <w:sz w:val="24"/>
          <w:szCs w:val="24"/>
        </w:rPr>
        <w:t>foment</w:t>
      </w:r>
      <w:r w:rsidR="009920D0">
        <w:rPr>
          <w:sz w:val="24"/>
          <w:szCs w:val="24"/>
        </w:rPr>
        <w:t>ing</w:t>
      </w:r>
      <w:r w:rsidR="008F32C1">
        <w:rPr>
          <w:sz w:val="24"/>
          <w:szCs w:val="24"/>
        </w:rPr>
        <w:t xml:space="preserve"> of</w:t>
      </w:r>
      <w:r w:rsidR="009920D0">
        <w:rPr>
          <w:sz w:val="24"/>
          <w:szCs w:val="24"/>
        </w:rPr>
        <w:t xml:space="preserve"> armed separatism</w:t>
      </w:r>
      <w:r>
        <w:rPr>
          <w:sz w:val="24"/>
          <w:szCs w:val="24"/>
        </w:rPr>
        <w:t xml:space="preserve"> in the Donbass</w:t>
      </w:r>
      <w:r w:rsidR="003249E2">
        <w:rPr>
          <w:sz w:val="24"/>
          <w:szCs w:val="24"/>
        </w:rPr>
        <w:t xml:space="preserve">. Indeed, it </w:t>
      </w:r>
      <w:r w:rsidR="009920D0">
        <w:rPr>
          <w:sz w:val="24"/>
          <w:szCs w:val="24"/>
        </w:rPr>
        <w:t>was a direct response to</w:t>
      </w:r>
      <w:r w:rsidR="00644838">
        <w:rPr>
          <w:sz w:val="24"/>
          <w:szCs w:val="24"/>
        </w:rPr>
        <w:t xml:space="preserve"> </w:t>
      </w:r>
      <w:r w:rsidR="006266AE">
        <w:rPr>
          <w:sz w:val="24"/>
          <w:szCs w:val="24"/>
        </w:rPr>
        <w:t xml:space="preserve">those at home and abroad who -following Moscow- argued </w:t>
      </w:r>
      <w:r>
        <w:rPr>
          <w:sz w:val="24"/>
          <w:szCs w:val="24"/>
        </w:rPr>
        <w:t>that</w:t>
      </w:r>
      <w:r w:rsidR="003249E2">
        <w:rPr>
          <w:sz w:val="24"/>
          <w:szCs w:val="24"/>
        </w:rPr>
        <w:t xml:space="preserve"> the only way to resolve the crisis was </w:t>
      </w:r>
      <w:r w:rsidR="006266AE">
        <w:rPr>
          <w:sz w:val="24"/>
          <w:szCs w:val="24"/>
        </w:rPr>
        <w:t xml:space="preserve">for Ukraine to </w:t>
      </w:r>
      <w:r w:rsidR="003249E2">
        <w:rPr>
          <w:sz w:val="24"/>
          <w:szCs w:val="24"/>
        </w:rPr>
        <w:t>federaliz</w:t>
      </w:r>
      <w:r w:rsidR="006266AE">
        <w:rPr>
          <w:sz w:val="24"/>
          <w:szCs w:val="24"/>
        </w:rPr>
        <w:t>e.</w:t>
      </w:r>
    </w:p>
    <w:p w:rsidR="00472F9D" w:rsidRDefault="00472F9D" w:rsidP="00870FBA">
      <w:pPr>
        <w:jc w:val="both"/>
        <w:rPr>
          <w:sz w:val="24"/>
          <w:szCs w:val="24"/>
        </w:rPr>
      </w:pPr>
      <w:r>
        <w:rPr>
          <w:sz w:val="24"/>
          <w:szCs w:val="24"/>
        </w:rPr>
        <w:t xml:space="preserve">Seen in this light, </w:t>
      </w:r>
      <w:r w:rsidR="009920D0">
        <w:rPr>
          <w:sz w:val="24"/>
          <w:szCs w:val="24"/>
        </w:rPr>
        <w:t>Poroshenko</w:t>
      </w:r>
      <w:r w:rsidR="00644838">
        <w:rPr>
          <w:sz w:val="24"/>
          <w:szCs w:val="24"/>
        </w:rPr>
        <w:t>’s</w:t>
      </w:r>
      <w:r>
        <w:rPr>
          <w:sz w:val="24"/>
          <w:szCs w:val="24"/>
        </w:rPr>
        <w:t xml:space="preserve"> turn towards</w:t>
      </w:r>
      <w:r w:rsidR="003249E2">
        <w:rPr>
          <w:sz w:val="24"/>
          <w:szCs w:val="24"/>
        </w:rPr>
        <w:t xml:space="preserve"> “</w:t>
      </w:r>
      <w:r w:rsidR="009920D0">
        <w:rPr>
          <w:sz w:val="24"/>
          <w:szCs w:val="24"/>
        </w:rPr>
        <w:t>decentralization</w:t>
      </w:r>
      <w:r w:rsidR="00F22045">
        <w:rPr>
          <w:sz w:val="24"/>
          <w:szCs w:val="24"/>
        </w:rPr>
        <w:t>”</w:t>
      </w:r>
      <w:r w:rsidR="00644838">
        <w:rPr>
          <w:sz w:val="24"/>
          <w:szCs w:val="24"/>
        </w:rPr>
        <w:t xml:space="preserve"> </w:t>
      </w:r>
      <w:r>
        <w:rPr>
          <w:sz w:val="24"/>
          <w:szCs w:val="24"/>
        </w:rPr>
        <w:t xml:space="preserve">was essentially a tactical move designed to </w:t>
      </w:r>
      <w:r w:rsidR="003249E2">
        <w:rPr>
          <w:sz w:val="24"/>
          <w:szCs w:val="24"/>
        </w:rPr>
        <w:t>take the question of federalism of</w:t>
      </w:r>
      <w:r>
        <w:rPr>
          <w:sz w:val="24"/>
          <w:szCs w:val="24"/>
        </w:rPr>
        <w:t>f</w:t>
      </w:r>
      <w:r w:rsidR="003249E2">
        <w:rPr>
          <w:sz w:val="24"/>
          <w:szCs w:val="24"/>
        </w:rPr>
        <w:t xml:space="preserve"> the table</w:t>
      </w:r>
      <w:r w:rsidR="008715DD">
        <w:rPr>
          <w:rStyle w:val="FootnoteReference"/>
          <w:sz w:val="24"/>
          <w:szCs w:val="24"/>
        </w:rPr>
        <w:footnoteReference w:id="1"/>
      </w:r>
      <w:r w:rsidR="003249E2">
        <w:rPr>
          <w:sz w:val="24"/>
          <w:szCs w:val="24"/>
        </w:rPr>
        <w:t>.</w:t>
      </w:r>
      <w:r>
        <w:rPr>
          <w:sz w:val="24"/>
          <w:szCs w:val="24"/>
        </w:rPr>
        <w:t xml:space="preserve"> </w:t>
      </w:r>
      <w:r w:rsidR="006828B0">
        <w:rPr>
          <w:sz w:val="24"/>
          <w:szCs w:val="24"/>
        </w:rPr>
        <w:t xml:space="preserve"> </w:t>
      </w:r>
      <w:r w:rsidR="009353C0">
        <w:rPr>
          <w:sz w:val="24"/>
          <w:szCs w:val="24"/>
        </w:rPr>
        <w:t>But</w:t>
      </w:r>
      <w:r w:rsidR="001D48F7">
        <w:rPr>
          <w:sz w:val="24"/>
          <w:szCs w:val="24"/>
        </w:rPr>
        <w:t xml:space="preserve"> it was also the </w:t>
      </w:r>
      <w:r>
        <w:rPr>
          <w:sz w:val="24"/>
          <w:szCs w:val="24"/>
        </w:rPr>
        <w:t>retur</w:t>
      </w:r>
      <w:r w:rsidR="001D48F7">
        <w:rPr>
          <w:sz w:val="24"/>
          <w:szCs w:val="24"/>
        </w:rPr>
        <w:t>n to an issue that has haunted</w:t>
      </w:r>
      <w:r>
        <w:rPr>
          <w:sz w:val="24"/>
          <w:szCs w:val="24"/>
        </w:rPr>
        <w:t xml:space="preserve"> Ukrainian politics since independence.</w:t>
      </w:r>
    </w:p>
    <w:p w:rsidR="008715DD" w:rsidRDefault="00472F9D" w:rsidP="00870FBA">
      <w:pPr>
        <w:jc w:val="both"/>
        <w:rPr>
          <w:sz w:val="24"/>
          <w:szCs w:val="24"/>
        </w:rPr>
      </w:pPr>
      <w:r>
        <w:rPr>
          <w:sz w:val="24"/>
          <w:szCs w:val="24"/>
        </w:rPr>
        <w:t xml:space="preserve">In the following, I briefly sketch the history of </w:t>
      </w:r>
      <w:r w:rsidR="006828B0">
        <w:rPr>
          <w:sz w:val="24"/>
          <w:szCs w:val="24"/>
        </w:rPr>
        <w:t xml:space="preserve">“decentralization” </w:t>
      </w:r>
      <w:r w:rsidR="00621DC5">
        <w:rPr>
          <w:sz w:val="24"/>
          <w:szCs w:val="24"/>
        </w:rPr>
        <w:t xml:space="preserve">in </w:t>
      </w:r>
      <w:r>
        <w:rPr>
          <w:sz w:val="24"/>
          <w:szCs w:val="24"/>
        </w:rPr>
        <w:t xml:space="preserve">Ukraine before </w:t>
      </w:r>
      <w:r w:rsidR="001D48F7">
        <w:rPr>
          <w:sz w:val="24"/>
          <w:szCs w:val="24"/>
        </w:rPr>
        <w:t>examining the</w:t>
      </w:r>
      <w:r w:rsidR="002C569F">
        <w:rPr>
          <w:sz w:val="24"/>
          <w:szCs w:val="24"/>
        </w:rPr>
        <w:t xml:space="preserve"> more important achievements and </w:t>
      </w:r>
      <w:r w:rsidR="001D48F7">
        <w:rPr>
          <w:sz w:val="24"/>
          <w:szCs w:val="24"/>
        </w:rPr>
        <w:t>problems of the reforms that have been implemented</w:t>
      </w:r>
      <w:r w:rsidR="002C569F">
        <w:rPr>
          <w:sz w:val="24"/>
          <w:szCs w:val="24"/>
        </w:rPr>
        <w:t xml:space="preserve"> </w:t>
      </w:r>
      <w:r w:rsidR="001D48F7">
        <w:rPr>
          <w:sz w:val="24"/>
          <w:szCs w:val="24"/>
        </w:rPr>
        <w:t>since the end of 2014</w:t>
      </w:r>
      <w:r w:rsidR="002C569F">
        <w:rPr>
          <w:sz w:val="24"/>
          <w:szCs w:val="24"/>
        </w:rPr>
        <w:t>.</w:t>
      </w:r>
      <w:r w:rsidR="000D2614">
        <w:rPr>
          <w:sz w:val="24"/>
          <w:szCs w:val="24"/>
        </w:rPr>
        <w:t xml:space="preserve"> </w:t>
      </w:r>
      <w:r w:rsidR="008715DD">
        <w:rPr>
          <w:sz w:val="24"/>
          <w:szCs w:val="24"/>
        </w:rPr>
        <w:t>On the one hand, I argue that th</w:t>
      </w:r>
      <w:r w:rsidR="00BF1BA0">
        <w:rPr>
          <w:sz w:val="24"/>
          <w:szCs w:val="24"/>
        </w:rPr>
        <w:t xml:space="preserve">ese reforms </w:t>
      </w:r>
      <w:r w:rsidR="00621DC5">
        <w:rPr>
          <w:sz w:val="24"/>
          <w:szCs w:val="24"/>
        </w:rPr>
        <w:t>have significantly changed</w:t>
      </w:r>
      <w:r w:rsidR="00BF1BA0">
        <w:rPr>
          <w:sz w:val="24"/>
          <w:szCs w:val="24"/>
        </w:rPr>
        <w:t xml:space="preserve"> the stru</w:t>
      </w:r>
      <w:r w:rsidR="00621DC5">
        <w:rPr>
          <w:sz w:val="24"/>
          <w:szCs w:val="24"/>
        </w:rPr>
        <w:t>cture and functions of Ukraine’s</w:t>
      </w:r>
      <w:r w:rsidR="00BF1BA0">
        <w:rPr>
          <w:sz w:val="24"/>
          <w:szCs w:val="24"/>
        </w:rPr>
        <w:t xml:space="preserve"> subnational governments. Most importantly, power and mone</w:t>
      </w:r>
      <w:r w:rsidR="00706B89">
        <w:rPr>
          <w:sz w:val="24"/>
          <w:szCs w:val="24"/>
        </w:rPr>
        <w:t>y has been shifted towards</w:t>
      </w:r>
      <w:r w:rsidR="00BF1BA0">
        <w:rPr>
          <w:sz w:val="24"/>
          <w:szCs w:val="24"/>
        </w:rPr>
        <w:t xml:space="preserve"> cites</w:t>
      </w:r>
      <w:r w:rsidR="00186848">
        <w:rPr>
          <w:sz w:val="24"/>
          <w:szCs w:val="24"/>
        </w:rPr>
        <w:t xml:space="preserve"> and newly consolidated</w:t>
      </w:r>
      <w:r w:rsidR="00621DC5">
        <w:rPr>
          <w:sz w:val="24"/>
          <w:szCs w:val="24"/>
        </w:rPr>
        <w:t xml:space="preserve"> gromada (villages/small towns), </w:t>
      </w:r>
      <w:r w:rsidR="00BF1BA0">
        <w:rPr>
          <w:sz w:val="24"/>
          <w:szCs w:val="24"/>
        </w:rPr>
        <w:t xml:space="preserve">both of which </w:t>
      </w:r>
      <w:r w:rsidR="008715DD">
        <w:rPr>
          <w:sz w:val="24"/>
          <w:szCs w:val="24"/>
        </w:rPr>
        <w:t>should be considered fully-</w:t>
      </w:r>
      <w:r w:rsidR="00BF1BA0">
        <w:rPr>
          <w:sz w:val="24"/>
          <w:szCs w:val="24"/>
        </w:rPr>
        <w:t>democr</w:t>
      </w:r>
      <w:r w:rsidR="00621DC5">
        <w:rPr>
          <w:sz w:val="24"/>
          <w:szCs w:val="24"/>
        </w:rPr>
        <w:t xml:space="preserve">atic local governments. </w:t>
      </w:r>
    </w:p>
    <w:p w:rsidR="00F7615B" w:rsidRDefault="008715DD" w:rsidP="00870FBA">
      <w:pPr>
        <w:jc w:val="both"/>
        <w:rPr>
          <w:sz w:val="24"/>
          <w:szCs w:val="24"/>
        </w:rPr>
      </w:pPr>
      <w:r>
        <w:rPr>
          <w:sz w:val="24"/>
          <w:szCs w:val="24"/>
        </w:rPr>
        <w:t xml:space="preserve">They have also </w:t>
      </w:r>
      <w:r w:rsidR="00621DC5">
        <w:rPr>
          <w:sz w:val="24"/>
          <w:szCs w:val="24"/>
        </w:rPr>
        <w:t>dramatically reduced the</w:t>
      </w:r>
      <w:r w:rsidR="00186848">
        <w:rPr>
          <w:sz w:val="24"/>
          <w:szCs w:val="24"/>
        </w:rPr>
        <w:t xml:space="preserve"> power of oblasts (regions) and rayons (districts) –levels of subnational government that have never been fully democratic, and whose (dual</w:t>
      </w:r>
      <w:r w:rsidR="00621DC5">
        <w:rPr>
          <w:sz w:val="24"/>
          <w:szCs w:val="24"/>
        </w:rPr>
        <w:t xml:space="preserve"> and confused</w:t>
      </w:r>
      <w:r w:rsidR="00186848">
        <w:rPr>
          <w:sz w:val="24"/>
          <w:szCs w:val="24"/>
        </w:rPr>
        <w:t>) subordination to the national government has always been extremely problematic.</w:t>
      </w:r>
      <w:r w:rsidR="000D2614">
        <w:rPr>
          <w:sz w:val="24"/>
          <w:szCs w:val="24"/>
        </w:rPr>
        <w:t xml:space="preserve"> As such, </w:t>
      </w:r>
      <w:r w:rsidR="00186848">
        <w:rPr>
          <w:sz w:val="24"/>
          <w:szCs w:val="24"/>
        </w:rPr>
        <w:t xml:space="preserve">the reforms of the last two years have </w:t>
      </w:r>
      <w:r w:rsidR="000D2614">
        <w:rPr>
          <w:sz w:val="24"/>
          <w:szCs w:val="24"/>
        </w:rPr>
        <w:t>strengthened</w:t>
      </w:r>
      <w:r w:rsidR="00186848">
        <w:rPr>
          <w:sz w:val="24"/>
          <w:szCs w:val="24"/>
        </w:rPr>
        <w:t xml:space="preserve"> local democracy in Ukraine</w:t>
      </w:r>
      <w:r w:rsidR="000D2614">
        <w:rPr>
          <w:sz w:val="24"/>
          <w:szCs w:val="24"/>
        </w:rPr>
        <w:t xml:space="preserve"> and hold the promise of improving the quality and accountability of local public services. T</w:t>
      </w:r>
      <w:r w:rsidR="00186848">
        <w:rPr>
          <w:sz w:val="24"/>
          <w:szCs w:val="24"/>
        </w:rPr>
        <w:t>his is good news.</w:t>
      </w:r>
      <w:r w:rsidR="0008706B">
        <w:rPr>
          <w:sz w:val="24"/>
          <w:szCs w:val="24"/>
        </w:rPr>
        <w:t xml:space="preserve"> </w:t>
      </w:r>
      <w:r>
        <w:rPr>
          <w:sz w:val="24"/>
          <w:szCs w:val="24"/>
        </w:rPr>
        <w:t xml:space="preserve">On the other hand, however, </w:t>
      </w:r>
      <w:r w:rsidR="000D2614">
        <w:rPr>
          <w:sz w:val="24"/>
          <w:szCs w:val="24"/>
        </w:rPr>
        <w:t>a combination of legislature failures, conceptual confusions</w:t>
      </w:r>
      <w:r w:rsidR="00F7615B">
        <w:rPr>
          <w:sz w:val="24"/>
          <w:szCs w:val="24"/>
        </w:rPr>
        <w:t>,</w:t>
      </w:r>
      <w:r w:rsidR="000D2614">
        <w:rPr>
          <w:sz w:val="24"/>
          <w:szCs w:val="24"/>
        </w:rPr>
        <w:t xml:space="preserve"> and tactical compromises have </w:t>
      </w:r>
      <w:r w:rsidR="00F7615B">
        <w:rPr>
          <w:sz w:val="24"/>
          <w:szCs w:val="24"/>
        </w:rPr>
        <w:t>not only left the reforms in mid-stream, but have trapped reformers in a discourse about decentralization that show</w:t>
      </w:r>
      <w:r w:rsidR="00DC296A">
        <w:rPr>
          <w:sz w:val="24"/>
          <w:szCs w:val="24"/>
        </w:rPr>
        <w:t>s</w:t>
      </w:r>
      <w:r w:rsidR="00F7615B">
        <w:rPr>
          <w:sz w:val="24"/>
          <w:szCs w:val="24"/>
        </w:rPr>
        <w:t xml:space="preserve"> increasing signs of becoming self-blocking.</w:t>
      </w:r>
    </w:p>
    <w:p w:rsidR="004A649D" w:rsidRDefault="00DC296A" w:rsidP="00870FBA">
      <w:pPr>
        <w:jc w:val="both"/>
        <w:rPr>
          <w:sz w:val="24"/>
          <w:szCs w:val="24"/>
        </w:rPr>
      </w:pPr>
      <w:r>
        <w:rPr>
          <w:sz w:val="24"/>
          <w:szCs w:val="24"/>
        </w:rPr>
        <w:t>The biggest political failure concerns the in</w:t>
      </w:r>
      <w:r w:rsidR="00F7615B">
        <w:rPr>
          <w:sz w:val="24"/>
          <w:szCs w:val="24"/>
        </w:rPr>
        <w:t>ability</w:t>
      </w:r>
      <w:r>
        <w:rPr>
          <w:sz w:val="24"/>
          <w:szCs w:val="24"/>
        </w:rPr>
        <w:t xml:space="preserve"> of </w:t>
      </w:r>
      <w:r w:rsidR="0008706B">
        <w:rPr>
          <w:sz w:val="24"/>
          <w:szCs w:val="24"/>
        </w:rPr>
        <w:t xml:space="preserve">the government to push through </w:t>
      </w:r>
      <w:r>
        <w:rPr>
          <w:sz w:val="24"/>
          <w:szCs w:val="24"/>
        </w:rPr>
        <w:t>legislation requiring</w:t>
      </w:r>
      <w:r w:rsidR="00F7615B">
        <w:rPr>
          <w:sz w:val="24"/>
          <w:szCs w:val="24"/>
        </w:rPr>
        <w:t xml:space="preserve"> </w:t>
      </w:r>
      <w:r w:rsidR="00593C29">
        <w:rPr>
          <w:sz w:val="24"/>
          <w:szCs w:val="24"/>
        </w:rPr>
        <w:t xml:space="preserve">the </w:t>
      </w:r>
      <w:r w:rsidR="006B06A6">
        <w:rPr>
          <w:sz w:val="24"/>
          <w:szCs w:val="24"/>
        </w:rPr>
        <w:t>amalgamation of the country’s 10</w:t>
      </w:r>
      <w:r w:rsidR="00593C29">
        <w:rPr>
          <w:sz w:val="24"/>
          <w:szCs w:val="24"/>
        </w:rPr>
        <w:t xml:space="preserve">,000 </w:t>
      </w:r>
      <w:r w:rsidR="00F7615B">
        <w:rPr>
          <w:sz w:val="24"/>
          <w:szCs w:val="24"/>
        </w:rPr>
        <w:t>gromada</w:t>
      </w:r>
      <w:r w:rsidR="00593C29">
        <w:rPr>
          <w:sz w:val="24"/>
          <w:szCs w:val="24"/>
        </w:rPr>
        <w:t xml:space="preserve"> into </w:t>
      </w:r>
      <w:r>
        <w:rPr>
          <w:sz w:val="24"/>
          <w:szCs w:val="24"/>
        </w:rPr>
        <w:t xml:space="preserve">larger, </w:t>
      </w:r>
      <w:r w:rsidR="00593C29">
        <w:rPr>
          <w:sz w:val="24"/>
          <w:szCs w:val="24"/>
        </w:rPr>
        <w:t>more viable</w:t>
      </w:r>
      <w:r w:rsidR="00F7615B">
        <w:rPr>
          <w:sz w:val="24"/>
          <w:szCs w:val="24"/>
        </w:rPr>
        <w:t xml:space="preserve"> units of democratic</w:t>
      </w:r>
      <w:r w:rsidR="0008706B">
        <w:rPr>
          <w:sz w:val="24"/>
          <w:szCs w:val="24"/>
        </w:rPr>
        <w:t xml:space="preserve"> governance. As a result, reformers</w:t>
      </w:r>
      <w:r>
        <w:rPr>
          <w:sz w:val="24"/>
          <w:szCs w:val="24"/>
        </w:rPr>
        <w:t xml:space="preserve"> have been forced</w:t>
      </w:r>
      <w:r w:rsidR="00593C29">
        <w:rPr>
          <w:sz w:val="24"/>
          <w:szCs w:val="24"/>
        </w:rPr>
        <w:t xml:space="preserve"> to rely on a voluntary process of jurisdictional consolidation</w:t>
      </w:r>
      <w:r>
        <w:rPr>
          <w:sz w:val="24"/>
          <w:szCs w:val="24"/>
        </w:rPr>
        <w:t xml:space="preserve"> that will be hard to exten</w:t>
      </w:r>
      <w:r w:rsidR="0008706B">
        <w:rPr>
          <w:sz w:val="24"/>
          <w:szCs w:val="24"/>
        </w:rPr>
        <w:t>d across the nation. T</w:t>
      </w:r>
      <w:r>
        <w:rPr>
          <w:sz w:val="24"/>
          <w:szCs w:val="24"/>
        </w:rPr>
        <w:t xml:space="preserve">his </w:t>
      </w:r>
      <w:r w:rsidR="0008706B">
        <w:rPr>
          <w:sz w:val="24"/>
          <w:szCs w:val="24"/>
        </w:rPr>
        <w:t xml:space="preserve">voluntary </w:t>
      </w:r>
      <w:r>
        <w:rPr>
          <w:sz w:val="24"/>
          <w:szCs w:val="24"/>
        </w:rPr>
        <w:t xml:space="preserve">process is also seriously </w:t>
      </w:r>
      <w:r w:rsidR="00593C29">
        <w:rPr>
          <w:sz w:val="24"/>
          <w:szCs w:val="24"/>
        </w:rPr>
        <w:t xml:space="preserve">flawed because </w:t>
      </w:r>
      <w:r>
        <w:rPr>
          <w:sz w:val="24"/>
          <w:szCs w:val="24"/>
        </w:rPr>
        <w:t xml:space="preserve">it allows </w:t>
      </w:r>
      <w:r w:rsidR="00593C29">
        <w:rPr>
          <w:sz w:val="24"/>
          <w:szCs w:val="24"/>
        </w:rPr>
        <w:t>r</w:t>
      </w:r>
      <w:r w:rsidR="0051492A">
        <w:rPr>
          <w:sz w:val="24"/>
          <w:szCs w:val="24"/>
        </w:rPr>
        <w:t>ural and small-</w:t>
      </w:r>
      <w:r w:rsidR="004A649D">
        <w:rPr>
          <w:sz w:val="24"/>
          <w:szCs w:val="24"/>
        </w:rPr>
        <w:t xml:space="preserve">town gromada </w:t>
      </w:r>
      <w:r>
        <w:rPr>
          <w:sz w:val="24"/>
          <w:szCs w:val="24"/>
        </w:rPr>
        <w:t>to</w:t>
      </w:r>
      <w:r w:rsidR="004A649D">
        <w:rPr>
          <w:sz w:val="24"/>
          <w:szCs w:val="24"/>
        </w:rPr>
        <w:t xml:space="preserve"> self</w:t>
      </w:r>
      <w:r>
        <w:rPr>
          <w:sz w:val="24"/>
          <w:szCs w:val="24"/>
        </w:rPr>
        <w:t>-sort</w:t>
      </w:r>
      <w:r w:rsidR="004A649D">
        <w:rPr>
          <w:sz w:val="24"/>
          <w:szCs w:val="24"/>
        </w:rPr>
        <w:t xml:space="preserve"> into separate jurisdictions</w:t>
      </w:r>
      <w:r>
        <w:rPr>
          <w:sz w:val="24"/>
          <w:szCs w:val="24"/>
        </w:rPr>
        <w:t xml:space="preserve">, a self-sorting that undermines both the financial </w:t>
      </w:r>
      <w:r w:rsidR="0051492A">
        <w:rPr>
          <w:sz w:val="24"/>
          <w:szCs w:val="24"/>
        </w:rPr>
        <w:t>and functional viability of many</w:t>
      </w:r>
      <w:r>
        <w:rPr>
          <w:sz w:val="24"/>
          <w:szCs w:val="24"/>
        </w:rPr>
        <w:t xml:space="preserve"> of the newly consolidated units. </w:t>
      </w:r>
      <w:r w:rsidR="004A649D">
        <w:rPr>
          <w:sz w:val="24"/>
          <w:szCs w:val="24"/>
        </w:rPr>
        <w:t xml:space="preserve"> </w:t>
      </w:r>
    </w:p>
    <w:p w:rsidR="000A0199" w:rsidRDefault="004A649D" w:rsidP="00870FBA">
      <w:pPr>
        <w:jc w:val="both"/>
        <w:rPr>
          <w:sz w:val="24"/>
          <w:szCs w:val="24"/>
        </w:rPr>
      </w:pPr>
      <w:r>
        <w:rPr>
          <w:sz w:val="24"/>
          <w:szCs w:val="24"/>
        </w:rPr>
        <w:t>Equally importantly,</w:t>
      </w:r>
      <w:r w:rsidR="0051492A">
        <w:rPr>
          <w:sz w:val="24"/>
          <w:szCs w:val="24"/>
        </w:rPr>
        <w:t xml:space="preserve"> the inability of Ukrainian reformers to clearly articulate what they mean by “decentralization” has</w:t>
      </w:r>
      <w:r>
        <w:rPr>
          <w:sz w:val="24"/>
          <w:szCs w:val="24"/>
        </w:rPr>
        <w:t xml:space="preserve"> led </w:t>
      </w:r>
      <w:r w:rsidR="0051492A">
        <w:rPr>
          <w:sz w:val="24"/>
          <w:szCs w:val="24"/>
        </w:rPr>
        <w:t>them to advertise what they are doing almost entirely in financial terms.</w:t>
      </w:r>
      <w:r>
        <w:rPr>
          <w:sz w:val="24"/>
          <w:szCs w:val="24"/>
        </w:rPr>
        <w:t xml:space="preserve"> Indeed, over the last few years</w:t>
      </w:r>
      <w:r w:rsidR="0051492A">
        <w:rPr>
          <w:sz w:val="24"/>
          <w:szCs w:val="24"/>
        </w:rPr>
        <w:t>, virtually the sole argument</w:t>
      </w:r>
      <w:r w:rsidR="00CE677E">
        <w:rPr>
          <w:sz w:val="24"/>
          <w:szCs w:val="24"/>
        </w:rPr>
        <w:t xml:space="preserve"> that</w:t>
      </w:r>
      <w:r w:rsidR="0051492A">
        <w:rPr>
          <w:sz w:val="24"/>
          <w:szCs w:val="24"/>
        </w:rPr>
        <w:t xml:space="preserve"> the </w:t>
      </w:r>
      <w:r w:rsidR="005E0314">
        <w:rPr>
          <w:sz w:val="24"/>
          <w:szCs w:val="24"/>
        </w:rPr>
        <w:t xml:space="preserve">government has </w:t>
      </w:r>
      <w:r w:rsidR="0051492A">
        <w:rPr>
          <w:sz w:val="24"/>
          <w:szCs w:val="24"/>
        </w:rPr>
        <w:t xml:space="preserve">used to justify what it has been doing, </w:t>
      </w:r>
      <w:r w:rsidR="005E0314">
        <w:rPr>
          <w:sz w:val="24"/>
          <w:szCs w:val="24"/>
        </w:rPr>
        <w:t>ha</w:t>
      </w:r>
      <w:r w:rsidR="006C70B9">
        <w:rPr>
          <w:sz w:val="24"/>
          <w:szCs w:val="24"/>
        </w:rPr>
        <w:t>s been the massive amount of</w:t>
      </w:r>
      <w:r w:rsidR="005E0314">
        <w:rPr>
          <w:sz w:val="24"/>
          <w:szCs w:val="24"/>
        </w:rPr>
        <w:t xml:space="preserve"> money it </w:t>
      </w:r>
      <w:r w:rsidR="0051492A">
        <w:rPr>
          <w:sz w:val="24"/>
          <w:szCs w:val="24"/>
        </w:rPr>
        <w:t xml:space="preserve">claims to have </w:t>
      </w:r>
      <w:r w:rsidR="0051492A">
        <w:rPr>
          <w:sz w:val="24"/>
          <w:szCs w:val="24"/>
        </w:rPr>
        <w:lastRenderedPageBreak/>
        <w:t>transferred to local governments</w:t>
      </w:r>
      <w:r w:rsidR="005E0314">
        <w:rPr>
          <w:sz w:val="24"/>
          <w:szCs w:val="24"/>
        </w:rPr>
        <w:t xml:space="preserve">. </w:t>
      </w:r>
      <w:r w:rsidR="0051492A">
        <w:rPr>
          <w:sz w:val="24"/>
          <w:szCs w:val="24"/>
        </w:rPr>
        <w:t>Unfortunately, once inflation has been taken into account, this simply isn’t true. I</w:t>
      </w:r>
      <w:r w:rsidR="005E0314">
        <w:rPr>
          <w:sz w:val="24"/>
          <w:szCs w:val="24"/>
        </w:rPr>
        <w:t>nstead</w:t>
      </w:r>
      <w:r w:rsidR="006C70B9">
        <w:rPr>
          <w:sz w:val="24"/>
          <w:szCs w:val="24"/>
        </w:rPr>
        <w:t>,</w:t>
      </w:r>
      <w:r w:rsidR="000A0199">
        <w:rPr>
          <w:sz w:val="24"/>
          <w:szCs w:val="24"/>
        </w:rPr>
        <w:t xml:space="preserve"> total subnational revenues have remain stable, but significantly more of it is now going to cities and newly con</w:t>
      </w:r>
      <w:r w:rsidR="006C4861">
        <w:rPr>
          <w:sz w:val="24"/>
          <w:szCs w:val="24"/>
        </w:rPr>
        <w:t>solidated gromada and less</w:t>
      </w:r>
      <w:r w:rsidR="000A0199">
        <w:rPr>
          <w:sz w:val="24"/>
          <w:szCs w:val="24"/>
        </w:rPr>
        <w:t xml:space="preserve"> to rayons and oblasts. </w:t>
      </w:r>
      <w:r w:rsidR="006C70B9">
        <w:rPr>
          <w:sz w:val="24"/>
          <w:szCs w:val="24"/>
        </w:rPr>
        <w:t xml:space="preserve"> </w:t>
      </w:r>
    </w:p>
    <w:p w:rsidR="005C65FA" w:rsidRDefault="0008706B" w:rsidP="00870FBA">
      <w:pPr>
        <w:jc w:val="both"/>
        <w:rPr>
          <w:sz w:val="24"/>
          <w:szCs w:val="24"/>
        </w:rPr>
      </w:pPr>
      <w:r>
        <w:rPr>
          <w:sz w:val="24"/>
          <w:szCs w:val="24"/>
        </w:rPr>
        <w:t>T</w:t>
      </w:r>
      <w:r w:rsidR="00CE677E">
        <w:rPr>
          <w:sz w:val="24"/>
          <w:szCs w:val="24"/>
        </w:rPr>
        <w:t>his is</w:t>
      </w:r>
      <w:r w:rsidR="000A0199">
        <w:rPr>
          <w:sz w:val="24"/>
          <w:szCs w:val="24"/>
        </w:rPr>
        <w:t xml:space="preserve"> a good thing. </w:t>
      </w:r>
      <w:r>
        <w:rPr>
          <w:sz w:val="24"/>
          <w:szCs w:val="24"/>
        </w:rPr>
        <w:t>I</w:t>
      </w:r>
      <w:r w:rsidR="00CE677E">
        <w:rPr>
          <w:sz w:val="24"/>
          <w:szCs w:val="24"/>
        </w:rPr>
        <w:t xml:space="preserve">t is also probably what most involved in </w:t>
      </w:r>
      <w:r>
        <w:rPr>
          <w:sz w:val="24"/>
          <w:szCs w:val="24"/>
        </w:rPr>
        <w:t>designi</w:t>
      </w:r>
      <w:r w:rsidR="00CE677E">
        <w:rPr>
          <w:sz w:val="24"/>
          <w:szCs w:val="24"/>
        </w:rPr>
        <w:t>ng the reforms want to see</w:t>
      </w:r>
      <w:r>
        <w:rPr>
          <w:sz w:val="24"/>
          <w:szCs w:val="24"/>
        </w:rPr>
        <w:t>, but which they rarely</w:t>
      </w:r>
      <w:r w:rsidR="00CE677E">
        <w:rPr>
          <w:sz w:val="24"/>
          <w:szCs w:val="24"/>
        </w:rPr>
        <w:t xml:space="preserve"> discuss </w:t>
      </w:r>
      <w:r>
        <w:rPr>
          <w:sz w:val="24"/>
          <w:szCs w:val="24"/>
        </w:rPr>
        <w:t xml:space="preserve">publically </w:t>
      </w:r>
      <w:r w:rsidR="00CE677E">
        <w:rPr>
          <w:sz w:val="24"/>
          <w:szCs w:val="24"/>
        </w:rPr>
        <w:t xml:space="preserve">lest the discussions prompt further opposition. So instead, they have </w:t>
      </w:r>
      <w:r>
        <w:rPr>
          <w:sz w:val="24"/>
          <w:szCs w:val="24"/>
        </w:rPr>
        <w:t>focused on all the new money</w:t>
      </w:r>
      <w:r w:rsidR="00CE677E">
        <w:rPr>
          <w:sz w:val="24"/>
          <w:szCs w:val="24"/>
        </w:rPr>
        <w:t xml:space="preserve"> all subnational governments are supposedly getting. </w:t>
      </w:r>
      <w:r>
        <w:rPr>
          <w:sz w:val="24"/>
          <w:szCs w:val="24"/>
        </w:rPr>
        <w:t>But this discourse masks the real shifts in power that the reforms</w:t>
      </w:r>
      <w:r w:rsidR="00CE677E">
        <w:rPr>
          <w:sz w:val="24"/>
          <w:szCs w:val="24"/>
        </w:rPr>
        <w:t xml:space="preserve"> </w:t>
      </w:r>
      <w:r>
        <w:rPr>
          <w:sz w:val="24"/>
          <w:szCs w:val="24"/>
        </w:rPr>
        <w:t xml:space="preserve">have brought about. And it </w:t>
      </w:r>
      <w:r w:rsidR="00CE677E">
        <w:rPr>
          <w:sz w:val="24"/>
          <w:szCs w:val="24"/>
        </w:rPr>
        <w:t xml:space="preserve">is </w:t>
      </w:r>
      <w:r w:rsidR="000A0199">
        <w:rPr>
          <w:sz w:val="24"/>
          <w:szCs w:val="24"/>
        </w:rPr>
        <w:t>c</w:t>
      </w:r>
      <w:r w:rsidR="005C65FA">
        <w:rPr>
          <w:sz w:val="24"/>
          <w:szCs w:val="24"/>
        </w:rPr>
        <w:t xml:space="preserve">reating expectations that will be difficult to maintain going forward. </w:t>
      </w:r>
      <w:r w:rsidR="000A0199">
        <w:rPr>
          <w:sz w:val="24"/>
          <w:szCs w:val="24"/>
        </w:rPr>
        <w:t>Indeed, plans to create a single-</w:t>
      </w:r>
      <w:r w:rsidR="005C65FA">
        <w:rPr>
          <w:sz w:val="24"/>
          <w:szCs w:val="24"/>
        </w:rPr>
        <w:t xml:space="preserve">payer </w:t>
      </w:r>
      <w:r w:rsidR="000A0199">
        <w:rPr>
          <w:sz w:val="24"/>
          <w:szCs w:val="24"/>
        </w:rPr>
        <w:t>health care system will</w:t>
      </w:r>
      <w:r w:rsidR="005C65FA">
        <w:rPr>
          <w:sz w:val="24"/>
          <w:szCs w:val="24"/>
        </w:rPr>
        <w:t xml:space="preserve"> require the </w:t>
      </w:r>
      <w:r w:rsidR="000A0199">
        <w:rPr>
          <w:sz w:val="24"/>
          <w:szCs w:val="24"/>
        </w:rPr>
        <w:t xml:space="preserve">national government to </w:t>
      </w:r>
      <w:r w:rsidR="00FC4E57">
        <w:rPr>
          <w:sz w:val="24"/>
          <w:szCs w:val="24"/>
        </w:rPr>
        <w:t>reduce s</w:t>
      </w:r>
      <w:r w:rsidR="000A0199">
        <w:rPr>
          <w:sz w:val="24"/>
          <w:szCs w:val="24"/>
        </w:rPr>
        <w:t xml:space="preserve">ubnational </w:t>
      </w:r>
      <w:r w:rsidR="00FC4E57">
        <w:rPr>
          <w:sz w:val="24"/>
          <w:szCs w:val="24"/>
        </w:rPr>
        <w:t>budgets</w:t>
      </w:r>
      <w:r w:rsidR="000A0199">
        <w:rPr>
          <w:sz w:val="24"/>
          <w:szCs w:val="24"/>
        </w:rPr>
        <w:t xml:space="preserve">, </w:t>
      </w:r>
      <w:r w:rsidR="005C65FA">
        <w:rPr>
          <w:sz w:val="24"/>
          <w:szCs w:val="24"/>
        </w:rPr>
        <w:t>potentially making the</w:t>
      </w:r>
      <w:r w:rsidR="00FC4E57">
        <w:rPr>
          <w:sz w:val="24"/>
          <w:szCs w:val="24"/>
        </w:rPr>
        <w:t xml:space="preserve"> government’s</w:t>
      </w:r>
      <w:r w:rsidR="005C65FA">
        <w:rPr>
          <w:sz w:val="24"/>
          <w:szCs w:val="24"/>
        </w:rPr>
        <w:t xml:space="preserve"> current discourse </w:t>
      </w:r>
      <w:r w:rsidR="000A0199">
        <w:rPr>
          <w:sz w:val="24"/>
          <w:szCs w:val="24"/>
        </w:rPr>
        <w:t xml:space="preserve">about “decentralization” </w:t>
      </w:r>
      <w:r w:rsidR="004248B3">
        <w:rPr>
          <w:sz w:val="24"/>
          <w:szCs w:val="24"/>
        </w:rPr>
        <w:t>self-</w:t>
      </w:r>
      <w:r w:rsidR="005C65FA">
        <w:rPr>
          <w:sz w:val="24"/>
          <w:szCs w:val="24"/>
        </w:rPr>
        <w:t xml:space="preserve">blocking. </w:t>
      </w:r>
    </w:p>
    <w:p w:rsidR="00870FBA" w:rsidRPr="00AD0580" w:rsidRDefault="00870FBA" w:rsidP="00870FBA">
      <w:pPr>
        <w:pStyle w:val="Heading1"/>
      </w:pPr>
      <w:bookmarkStart w:id="0" w:name="_Toc488757958"/>
      <w:r w:rsidRPr="00594CA9">
        <w:t>II.</w:t>
      </w:r>
      <w:r>
        <w:rPr>
          <w:sz w:val="24"/>
          <w:szCs w:val="24"/>
        </w:rPr>
        <w:t xml:space="preserve"> </w:t>
      </w:r>
      <w:r w:rsidRPr="00AD0580">
        <w:t>The History a</w:t>
      </w:r>
      <w:r w:rsidR="00CC7DF5">
        <w:t>nd Context of the 2015</w:t>
      </w:r>
      <w:r w:rsidRPr="00AD0580">
        <w:t xml:space="preserve"> Financial Reforms</w:t>
      </w:r>
      <w:bookmarkEnd w:id="0"/>
    </w:p>
    <w:p w:rsidR="00870FBA" w:rsidRDefault="00870FBA" w:rsidP="00870FBA">
      <w:pPr>
        <w:spacing w:after="0"/>
      </w:pPr>
    </w:p>
    <w:p w:rsidR="00FF2180" w:rsidRDefault="004248B3" w:rsidP="004248B3">
      <w:pPr>
        <w:pStyle w:val="FootnoteText"/>
        <w:jc w:val="both"/>
        <w:rPr>
          <w:sz w:val="24"/>
          <w:szCs w:val="24"/>
        </w:rPr>
      </w:pPr>
      <w:r>
        <w:rPr>
          <w:sz w:val="24"/>
          <w:szCs w:val="24"/>
        </w:rPr>
        <w:t>Ukraine</w:t>
      </w:r>
      <w:r w:rsidRPr="004248B3">
        <w:rPr>
          <w:sz w:val="24"/>
          <w:szCs w:val="24"/>
        </w:rPr>
        <w:t xml:space="preserve"> </w:t>
      </w:r>
      <w:r w:rsidRPr="007B0AA9">
        <w:rPr>
          <w:sz w:val="24"/>
          <w:szCs w:val="24"/>
        </w:rPr>
        <w:t>inherited</w:t>
      </w:r>
      <w:r>
        <w:rPr>
          <w:sz w:val="24"/>
          <w:szCs w:val="24"/>
        </w:rPr>
        <w:t xml:space="preserve"> from its Soviet past a highly decentralized fiscal structure</w:t>
      </w:r>
      <w:r w:rsidR="00CE677E">
        <w:rPr>
          <w:sz w:val="24"/>
          <w:szCs w:val="24"/>
        </w:rPr>
        <w:t>: Since independence, su</w:t>
      </w:r>
      <w:r w:rsidR="006C4861">
        <w:rPr>
          <w:sz w:val="24"/>
          <w:szCs w:val="24"/>
        </w:rPr>
        <w:t>bnational governments</w:t>
      </w:r>
      <w:r w:rsidR="00CE677E">
        <w:rPr>
          <w:sz w:val="24"/>
          <w:szCs w:val="24"/>
        </w:rPr>
        <w:t xml:space="preserve"> </w:t>
      </w:r>
      <w:r w:rsidR="006C4861">
        <w:rPr>
          <w:sz w:val="24"/>
          <w:szCs w:val="24"/>
        </w:rPr>
        <w:t xml:space="preserve">have </w:t>
      </w:r>
      <w:r w:rsidR="00CE677E">
        <w:rPr>
          <w:sz w:val="24"/>
          <w:szCs w:val="24"/>
        </w:rPr>
        <w:t xml:space="preserve">controlled </w:t>
      </w:r>
      <w:r>
        <w:rPr>
          <w:sz w:val="24"/>
          <w:szCs w:val="24"/>
        </w:rPr>
        <w:t xml:space="preserve">–at least </w:t>
      </w:r>
      <w:r w:rsidR="0032775D" w:rsidRPr="007B0AA9">
        <w:rPr>
          <w:sz w:val="24"/>
          <w:szCs w:val="24"/>
        </w:rPr>
        <w:t>nominal</w:t>
      </w:r>
      <w:r>
        <w:rPr>
          <w:sz w:val="24"/>
          <w:szCs w:val="24"/>
        </w:rPr>
        <w:t xml:space="preserve">ly— </w:t>
      </w:r>
      <w:r w:rsidR="0032775D" w:rsidRPr="007B0AA9">
        <w:rPr>
          <w:sz w:val="24"/>
          <w:szCs w:val="24"/>
        </w:rPr>
        <w:t>al</w:t>
      </w:r>
      <w:r>
        <w:rPr>
          <w:sz w:val="24"/>
          <w:szCs w:val="24"/>
        </w:rPr>
        <w:t xml:space="preserve">most 40% of </w:t>
      </w:r>
      <w:r w:rsidR="00CE677E">
        <w:rPr>
          <w:sz w:val="24"/>
          <w:szCs w:val="24"/>
        </w:rPr>
        <w:t xml:space="preserve">all </w:t>
      </w:r>
      <w:r>
        <w:rPr>
          <w:sz w:val="24"/>
          <w:szCs w:val="24"/>
        </w:rPr>
        <w:t>public expenditure</w:t>
      </w:r>
      <w:r w:rsidR="006C4861">
        <w:rPr>
          <w:sz w:val="24"/>
          <w:szCs w:val="24"/>
        </w:rPr>
        <w:t>. On paper, this makes</w:t>
      </w:r>
      <w:r>
        <w:rPr>
          <w:sz w:val="24"/>
          <w:szCs w:val="24"/>
        </w:rPr>
        <w:t xml:space="preserve"> Ukraine one of the most “decentralized” countries in Europe</w:t>
      </w:r>
      <w:r w:rsidR="00B42753">
        <w:rPr>
          <w:sz w:val="24"/>
          <w:szCs w:val="24"/>
        </w:rPr>
        <w:t>.</w:t>
      </w:r>
      <w:r w:rsidR="00B42753">
        <w:rPr>
          <w:rStyle w:val="FootnoteReference"/>
          <w:sz w:val="24"/>
          <w:szCs w:val="24"/>
        </w:rPr>
        <w:footnoteReference w:id="2"/>
      </w:r>
      <w:r w:rsidR="00B42753" w:rsidRPr="00B42753">
        <w:rPr>
          <w:rStyle w:val="FootnoteReference"/>
        </w:rPr>
        <w:t xml:space="preserve"> </w:t>
      </w:r>
    </w:p>
    <w:p w:rsidR="004248B3" w:rsidRDefault="004248B3" w:rsidP="00B42753">
      <w:pPr>
        <w:pStyle w:val="FootnoteText"/>
        <w:rPr>
          <w:sz w:val="24"/>
          <w:szCs w:val="24"/>
        </w:rPr>
      </w:pPr>
    </w:p>
    <w:p w:rsidR="00870FBA" w:rsidRPr="006A7DD2" w:rsidRDefault="006C4861" w:rsidP="00870FBA">
      <w:pPr>
        <w:pStyle w:val="Heading3"/>
      </w:pPr>
      <w:bookmarkStart w:id="1" w:name="_Toc488757959"/>
      <w:r>
        <w:t>Figure 1. Subnational</w:t>
      </w:r>
      <w:r w:rsidR="00870FBA" w:rsidRPr="000969DF">
        <w:t xml:space="preserve"> Revenue as a % of GDP and T</w:t>
      </w:r>
      <w:r>
        <w:t xml:space="preserve">otal Public Revenue in European </w:t>
      </w:r>
      <w:r w:rsidR="00870FBA" w:rsidRPr="006A7DD2">
        <w:t>Countries</w:t>
      </w:r>
      <w:r w:rsidR="00870FBA">
        <w:t xml:space="preserve"> </w:t>
      </w:r>
      <w:r w:rsidR="00870FBA" w:rsidRPr="006A7DD2">
        <w:t>2015 (Ukraine 2016)</w:t>
      </w:r>
      <w:bookmarkEnd w:id="1"/>
    </w:p>
    <w:p w:rsidR="00870FBA" w:rsidRDefault="00870FBA" w:rsidP="00870FBA">
      <w:pPr>
        <w:rPr>
          <w:sz w:val="24"/>
          <w:szCs w:val="24"/>
        </w:rPr>
      </w:pPr>
      <w:r w:rsidRPr="00D64E24">
        <w:rPr>
          <w:noProof/>
          <w:sz w:val="24"/>
          <w:szCs w:val="24"/>
        </w:rPr>
        <w:drawing>
          <wp:inline distT="0" distB="0" distL="0" distR="0" wp14:anchorId="19822EA5" wp14:editId="32442DC2">
            <wp:extent cx="5943600" cy="2725270"/>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134F" w:rsidRPr="007A4048" w:rsidRDefault="00421953" w:rsidP="00D5134F">
      <w:pPr>
        <w:pStyle w:val="FootnoteText"/>
        <w:jc w:val="both"/>
        <w:rPr>
          <w:lang w:val="lv-LV"/>
        </w:rPr>
      </w:pPr>
      <w:r>
        <w:rPr>
          <w:sz w:val="24"/>
          <w:szCs w:val="24"/>
        </w:rPr>
        <w:t>As such,</w:t>
      </w:r>
      <w:r w:rsidR="00D5134F">
        <w:rPr>
          <w:sz w:val="24"/>
          <w:szCs w:val="24"/>
        </w:rPr>
        <w:t xml:space="preserve"> Ukraine’s problem with decentralized governance has never been strictly or</w:t>
      </w:r>
      <w:r>
        <w:rPr>
          <w:sz w:val="24"/>
          <w:szCs w:val="24"/>
        </w:rPr>
        <w:t xml:space="preserve"> even</w:t>
      </w:r>
      <w:r w:rsidR="00D5134F">
        <w:rPr>
          <w:sz w:val="24"/>
          <w:szCs w:val="24"/>
        </w:rPr>
        <w:t xml:space="preserve"> primarily financial. Instead, three other problems have haunted the country’s efforts to create a viable</w:t>
      </w:r>
      <w:r>
        <w:rPr>
          <w:sz w:val="24"/>
          <w:szCs w:val="24"/>
        </w:rPr>
        <w:t xml:space="preserve"> system of subnational governance:</w:t>
      </w:r>
      <w:r w:rsidR="00D5134F">
        <w:rPr>
          <w:sz w:val="24"/>
          <w:szCs w:val="24"/>
        </w:rPr>
        <w:t xml:space="preserve"> Extreme jurisdictional fragmentation at the village </w:t>
      </w:r>
      <w:r w:rsidR="00D5134F">
        <w:rPr>
          <w:sz w:val="24"/>
          <w:szCs w:val="24"/>
        </w:rPr>
        <w:lastRenderedPageBreak/>
        <w:t>(gromada) level; the ambiguous governance structure of oblasts and rayons; and the maintenance of centrally controlled expenditure norms.</w:t>
      </w:r>
    </w:p>
    <w:p w:rsidR="00D5134F" w:rsidRDefault="00D5134F" w:rsidP="00D5134F">
      <w:pPr>
        <w:spacing w:after="0"/>
        <w:jc w:val="both"/>
        <w:rPr>
          <w:sz w:val="24"/>
          <w:szCs w:val="24"/>
        </w:rPr>
      </w:pPr>
    </w:p>
    <w:p w:rsidR="00870FBA" w:rsidRDefault="00CE50C9" w:rsidP="006B06A6">
      <w:pPr>
        <w:spacing w:after="0"/>
        <w:jc w:val="both"/>
        <w:rPr>
          <w:sz w:val="24"/>
          <w:szCs w:val="24"/>
        </w:rPr>
      </w:pPr>
      <w:r>
        <w:rPr>
          <w:sz w:val="24"/>
          <w:szCs w:val="24"/>
        </w:rPr>
        <w:t xml:space="preserve">Like many other post-communist countries, Ukraine </w:t>
      </w:r>
      <w:r w:rsidR="00870FBA">
        <w:rPr>
          <w:sz w:val="24"/>
          <w:szCs w:val="24"/>
        </w:rPr>
        <w:t>all</w:t>
      </w:r>
      <w:r w:rsidR="001522A7">
        <w:rPr>
          <w:sz w:val="24"/>
          <w:szCs w:val="24"/>
        </w:rPr>
        <w:t xml:space="preserve">owed </w:t>
      </w:r>
      <w:r w:rsidR="00487DB7">
        <w:rPr>
          <w:sz w:val="24"/>
          <w:szCs w:val="24"/>
        </w:rPr>
        <w:t>every town, village, and hamlet</w:t>
      </w:r>
      <w:r w:rsidR="00870FBA">
        <w:rPr>
          <w:sz w:val="24"/>
          <w:szCs w:val="24"/>
        </w:rPr>
        <w:t xml:space="preserve"> to </w:t>
      </w:r>
      <w:r>
        <w:rPr>
          <w:sz w:val="24"/>
          <w:szCs w:val="24"/>
        </w:rPr>
        <w:t>become independ</w:t>
      </w:r>
      <w:r w:rsidR="00D5134F">
        <w:rPr>
          <w:sz w:val="24"/>
          <w:szCs w:val="24"/>
        </w:rPr>
        <w:t>e</w:t>
      </w:r>
      <w:r>
        <w:rPr>
          <w:sz w:val="24"/>
          <w:szCs w:val="24"/>
        </w:rPr>
        <w:t xml:space="preserve">nt </w:t>
      </w:r>
      <w:r w:rsidR="00487DB7">
        <w:rPr>
          <w:sz w:val="24"/>
          <w:szCs w:val="24"/>
        </w:rPr>
        <w:t>local government</w:t>
      </w:r>
      <w:r>
        <w:rPr>
          <w:sz w:val="24"/>
          <w:szCs w:val="24"/>
        </w:rPr>
        <w:t xml:space="preserve"> in the 1990</w:t>
      </w:r>
      <w:r w:rsidR="00421953">
        <w:rPr>
          <w:sz w:val="24"/>
          <w:szCs w:val="24"/>
        </w:rPr>
        <w:t>.</w:t>
      </w:r>
      <w:r w:rsidR="00487DB7">
        <w:rPr>
          <w:sz w:val="24"/>
          <w:szCs w:val="24"/>
        </w:rPr>
        <w:t xml:space="preserve"> </w:t>
      </w:r>
      <w:r>
        <w:rPr>
          <w:sz w:val="24"/>
          <w:szCs w:val="24"/>
        </w:rPr>
        <w:t>This policy was pursued in the name of “bringing democracy as close to the people as possible.”</w:t>
      </w:r>
      <w:r w:rsidR="00A9447C" w:rsidRPr="00A9447C">
        <w:rPr>
          <w:rStyle w:val="FootnoteReference"/>
          <w:sz w:val="24"/>
          <w:szCs w:val="24"/>
        </w:rPr>
        <w:t xml:space="preserve"> </w:t>
      </w:r>
      <w:r w:rsidR="00A9447C">
        <w:rPr>
          <w:rStyle w:val="FootnoteReference"/>
          <w:sz w:val="24"/>
          <w:szCs w:val="24"/>
        </w:rPr>
        <w:footnoteReference w:id="3"/>
      </w:r>
      <w:r>
        <w:rPr>
          <w:sz w:val="24"/>
          <w:szCs w:val="24"/>
        </w:rPr>
        <w:t xml:space="preserve"> But while understanda</w:t>
      </w:r>
      <w:r w:rsidR="00D5134F">
        <w:rPr>
          <w:sz w:val="24"/>
          <w:szCs w:val="24"/>
        </w:rPr>
        <w:t xml:space="preserve">ble </w:t>
      </w:r>
      <w:r>
        <w:rPr>
          <w:sz w:val="24"/>
          <w:szCs w:val="24"/>
        </w:rPr>
        <w:t xml:space="preserve">in the wake of </w:t>
      </w:r>
      <w:r w:rsidR="001522A7">
        <w:rPr>
          <w:sz w:val="24"/>
          <w:szCs w:val="24"/>
        </w:rPr>
        <w:t>communism</w:t>
      </w:r>
      <w:r>
        <w:rPr>
          <w:sz w:val="24"/>
          <w:szCs w:val="24"/>
        </w:rPr>
        <w:t xml:space="preserve">’s </w:t>
      </w:r>
      <w:r w:rsidR="006B06A6">
        <w:rPr>
          <w:sz w:val="24"/>
          <w:szCs w:val="24"/>
        </w:rPr>
        <w:t>collapse</w:t>
      </w:r>
      <w:r w:rsidR="00421953">
        <w:rPr>
          <w:sz w:val="24"/>
          <w:szCs w:val="24"/>
        </w:rPr>
        <w:t>,</w:t>
      </w:r>
      <w:r>
        <w:rPr>
          <w:sz w:val="24"/>
          <w:szCs w:val="24"/>
        </w:rPr>
        <w:t xml:space="preserve"> the policy also produced</w:t>
      </w:r>
      <w:r w:rsidR="006B06A6">
        <w:rPr>
          <w:sz w:val="24"/>
          <w:szCs w:val="24"/>
        </w:rPr>
        <w:t xml:space="preserve"> extre</w:t>
      </w:r>
      <w:r w:rsidR="00421953">
        <w:rPr>
          <w:sz w:val="24"/>
          <w:szCs w:val="24"/>
        </w:rPr>
        <w:t>me jurisdictional fragmentation</w:t>
      </w:r>
      <w:r>
        <w:rPr>
          <w:sz w:val="24"/>
          <w:szCs w:val="24"/>
        </w:rPr>
        <w:t xml:space="preserve">. </w:t>
      </w:r>
      <w:r w:rsidR="006B06A6">
        <w:rPr>
          <w:sz w:val="24"/>
          <w:szCs w:val="24"/>
        </w:rPr>
        <w:t>So much so</w:t>
      </w:r>
      <w:r>
        <w:rPr>
          <w:sz w:val="24"/>
          <w:szCs w:val="24"/>
        </w:rPr>
        <w:t>,</w:t>
      </w:r>
      <w:r w:rsidR="006B06A6">
        <w:rPr>
          <w:sz w:val="24"/>
          <w:szCs w:val="24"/>
        </w:rPr>
        <w:t xml:space="preserve"> that</w:t>
      </w:r>
      <w:r w:rsidR="00EB756E" w:rsidRPr="00604414">
        <w:rPr>
          <w:sz w:val="24"/>
          <w:szCs w:val="24"/>
        </w:rPr>
        <w:t xml:space="preserve"> Ukraine</w:t>
      </w:r>
      <w:r w:rsidR="00870FBA" w:rsidRPr="00604414">
        <w:rPr>
          <w:sz w:val="24"/>
          <w:szCs w:val="24"/>
        </w:rPr>
        <w:t xml:space="preserve"> </w:t>
      </w:r>
      <w:r w:rsidR="00487DB7" w:rsidRPr="00604414">
        <w:rPr>
          <w:sz w:val="24"/>
          <w:szCs w:val="24"/>
        </w:rPr>
        <w:t>has more than</w:t>
      </w:r>
      <w:r w:rsidR="00870FBA" w:rsidRPr="00604414">
        <w:rPr>
          <w:sz w:val="24"/>
          <w:szCs w:val="24"/>
        </w:rPr>
        <w:t xml:space="preserve"> 10,000 village</w:t>
      </w:r>
      <w:r w:rsidR="0092573D" w:rsidRPr="00604414">
        <w:rPr>
          <w:sz w:val="24"/>
          <w:szCs w:val="24"/>
        </w:rPr>
        <w:t>-level local governments</w:t>
      </w:r>
      <w:r w:rsidR="00F431CF" w:rsidRPr="00604414">
        <w:rPr>
          <w:sz w:val="24"/>
          <w:szCs w:val="24"/>
        </w:rPr>
        <w:t xml:space="preserve"> </w:t>
      </w:r>
      <w:r w:rsidR="0092573D" w:rsidRPr="00604414">
        <w:rPr>
          <w:sz w:val="24"/>
          <w:szCs w:val="24"/>
        </w:rPr>
        <w:t>(</w:t>
      </w:r>
      <w:r w:rsidR="00870FBA" w:rsidRPr="00604414">
        <w:rPr>
          <w:sz w:val="24"/>
          <w:szCs w:val="24"/>
        </w:rPr>
        <w:t>gromada</w:t>
      </w:r>
      <w:r w:rsidR="00A9447C">
        <w:rPr>
          <w:sz w:val="24"/>
          <w:szCs w:val="24"/>
        </w:rPr>
        <w:t>). These village governments have an</w:t>
      </w:r>
      <w:r w:rsidR="00870FBA" w:rsidRPr="00604414">
        <w:rPr>
          <w:sz w:val="24"/>
          <w:szCs w:val="24"/>
        </w:rPr>
        <w:t xml:space="preserve"> </w:t>
      </w:r>
      <w:r w:rsidR="00870FBA" w:rsidRPr="00604414">
        <w:rPr>
          <w:i/>
          <w:sz w:val="24"/>
          <w:szCs w:val="24"/>
        </w:rPr>
        <w:t>average</w:t>
      </w:r>
      <w:r w:rsidR="00A9447C">
        <w:rPr>
          <w:sz w:val="24"/>
          <w:szCs w:val="24"/>
        </w:rPr>
        <w:t xml:space="preserve"> population of</w:t>
      </w:r>
      <w:r w:rsidR="0099784E">
        <w:rPr>
          <w:sz w:val="24"/>
          <w:szCs w:val="24"/>
        </w:rPr>
        <w:t xml:space="preserve"> about 1500 inhabitants</w:t>
      </w:r>
      <w:r w:rsidR="00A9447C">
        <w:rPr>
          <w:sz w:val="24"/>
          <w:szCs w:val="24"/>
        </w:rPr>
        <w:t xml:space="preserve"> and are too small </w:t>
      </w:r>
      <w:r w:rsidR="0099784E">
        <w:rPr>
          <w:sz w:val="24"/>
          <w:szCs w:val="24"/>
        </w:rPr>
        <w:t>to organize, finance, or deliver basic public services</w:t>
      </w:r>
      <w:r w:rsidR="00A9447C">
        <w:rPr>
          <w:sz w:val="24"/>
          <w:szCs w:val="24"/>
        </w:rPr>
        <w:t>. A</w:t>
      </w:r>
      <w:r w:rsidR="0099784E">
        <w:rPr>
          <w:sz w:val="24"/>
          <w:szCs w:val="24"/>
        </w:rPr>
        <w:t>s a result</w:t>
      </w:r>
      <w:r w:rsidR="00A9447C">
        <w:rPr>
          <w:sz w:val="24"/>
          <w:szCs w:val="24"/>
        </w:rPr>
        <w:t xml:space="preserve">, the rayon level governments above them have remained responsible for providing many of their basic public services. </w:t>
      </w:r>
    </w:p>
    <w:p w:rsidR="006B06A6" w:rsidRDefault="006B06A6" w:rsidP="006B06A6">
      <w:pPr>
        <w:spacing w:after="0"/>
        <w:jc w:val="both"/>
        <w:rPr>
          <w:sz w:val="24"/>
          <w:szCs w:val="24"/>
        </w:rPr>
      </w:pPr>
    </w:p>
    <w:p w:rsidR="00870FBA" w:rsidRPr="001F6857" w:rsidRDefault="00A9447C" w:rsidP="00870FBA">
      <w:pPr>
        <w:jc w:val="both"/>
        <w:rPr>
          <w:sz w:val="24"/>
          <w:szCs w:val="24"/>
        </w:rPr>
      </w:pPr>
      <w:r>
        <w:rPr>
          <w:sz w:val="24"/>
          <w:szCs w:val="24"/>
        </w:rPr>
        <w:t xml:space="preserve">At the same time, </w:t>
      </w:r>
      <w:r w:rsidR="00B62ADA">
        <w:rPr>
          <w:sz w:val="24"/>
          <w:szCs w:val="24"/>
        </w:rPr>
        <w:t xml:space="preserve">the </w:t>
      </w:r>
      <w:r w:rsidR="0099784E">
        <w:rPr>
          <w:sz w:val="24"/>
          <w:szCs w:val="24"/>
        </w:rPr>
        <w:t xml:space="preserve">governance structures of both rayons and oblasts </w:t>
      </w:r>
      <w:r>
        <w:rPr>
          <w:sz w:val="24"/>
          <w:szCs w:val="24"/>
        </w:rPr>
        <w:t xml:space="preserve">have remained in </w:t>
      </w:r>
      <w:r w:rsidR="001B0963">
        <w:rPr>
          <w:sz w:val="24"/>
          <w:szCs w:val="24"/>
        </w:rPr>
        <w:t>limbo with</w:t>
      </w:r>
      <w:r>
        <w:rPr>
          <w:sz w:val="24"/>
          <w:szCs w:val="24"/>
        </w:rPr>
        <w:t xml:space="preserve"> </w:t>
      </w:r>
      <w:r w:rsidR="001B0963">
        <w:rPr>
          <w:sz w:val="24"/>
          <w:szCs w:val="24"/>
        </w:rPr>
        <w:t>d</w:t>
      </w:r>
      <w:r w:rsidR="00870FBA">
        <w:rPr>
          <w:sz w:val="24"/>
          <w:szCs w:val="24"/>
        </w:rPr>
        <w:t>emocratically-elected councils</w:t>
      </w:r>
      <w:r>
        <w:rPr>
          <w:sz w:val="24"/>
          <w:szCs w:val="24"/>
        </w:rPr>
        <w:t xml:space="preserve"> but state-appointed executives</w:t>
      </w:r>
      <w:r w:rsidR="001B0963">
        <w:rPr>
          <w:sz w:val="24"/>
          <w:szCs w:val="24"/>
        </w:rPr>
        <w:t xml:space="preserve">. The constitution requires that the Council of Ministers appoint rayon and oblast governors. And these </w:t>
      </w:r>
      <w:r>
        <w:rPr>
          <w:sz w:val="24"/>
          <w:szCs w:val="24"/>
        </w:rPr>
        <w:t>governors</w:t>
      </w:r>
      <w:r w:rsidR="001B0963">
        <w:rPr>
          <w:sz w:val="24"/>
          <w:szCs w:val="24"/>
        </w:rPr>
        <w:t xml:space="preserve">, </w:t>
      </w:r>
      <w:r>
        <w:rPr>
          <w:sz w:val="24"/>
          <w:szCs w:val="24"/>
        </w:rPr>
        <w:t>in turn</w:t>
      </w:r>
      <w:r w:rsidR="001B0963">
        <w:rPr>
          <w:sz w:val="24"/>
          <w:szCs w:val="24"/>
        </w:rPr>
        <w:t>,</w:t>
      </w:r>
      <w:r w:rsidR="00206108">
        <w:rPr>
          <w:sz w:val="24"/>
          <w:szCs w:val="24"/>
        </w:rPr>
        <w:t xml:space="preserve"> have final say</w:t>
      </w:r>
      <w:r w:rsidR="00C722CB">
        <w:rPr>
          <w:sz w:val="24"/>
          <w:szCs w:val="24"/>
        </w:rPr>
        <w:t xml:space="preserve"> </w:t>
      </w:r>
      <w:r w:rsidR="00870FBA" w:rsidRPr="00A41E0B">
        <w:rPr>
          <w:sz w:val="24"/>
          <w:szCs w:val="24"/>
        </w:rPr>
        <w:t>o</w:t>
      </w:r>
      <w:r w:rsidR="008D0D48" w:rsidRPr="00A41E0B">
        <w:rPr>
          <w:sz w:val="24"/>
          <w:szCs w:val="24"/>
        </w:rPr>
        <w:t>ver the hiring and firing of</w:t>
      </w:r>
      <w:r w:rsidR="00C722CB">
        <w:rPr>
          <w:sz w:val="24"/>
          <w:szCs w:val="24"/>
        </w:rPr>
        <w:t xml:space="preserve"> </w:t>
      </w:r>
      <w:r w:rsidR="001B0963">
        <w:rPr>
          <w:sz w:val="24"/>
          <w:szCs w:val="24"/>
        </w:rPr>
        <w:t>department heads</w:t>
      </w:r>
      <w:r w:rsidR="00C722CB">
        <w:rPr>
          <w:sz w:val="24"/>
          <w:szCs w:val="24"/>
        </w:rPr>
        <w:t>.  As a result, both governors and</w:t>
      </w:r>
      <w:r w:rsidR="00604414" w:rsidRPr="00A41E0B">
        <w:rPr>
          <w:sz w:val="24"/>
          <w:szCs w:val="24"/>
        </w:rPr>
        <w:t xml:space="preserve"> department heads</w:t>
      </w:r>
      <w:r w:rsidR="00870FBA" w:rsidRPr="00A41E0B">
        <w:rPr>
          <w:sz w:val="24"/>
          <w:szCs w:val="24"/>
        </w:rPr>
        <w:t xml:space="preserve"> </w:t>
      </w:r>
      <w:r w:rsidR="00C722CB">
        <w:rPr>
          <w:sz w:val="24"/>
          <w:szCs w:val="24"/>
        </w:rPr>
        <w:t>at</w:t>
      </w:r>
      <w:r w:rsidR="00604414" w:rsidRPr="00A41E0B">
        <w:rPr>
          <w:sz w:val="24"/>
          <w:szCs w:val="24"/>
        </w:rPr>
        <w:t xml:space="preserve"> the oblast and rayon levels </w:t>
      </w:r>
      <w:r w:rsidR="00870FBA" w:rsidRPr="00A41E0B">
        <w:rPr>
          <w:sz w:val="24"/>
          <w:szCs w:val="24"/>
        </w:rPr>
        <w:t xml:space="preserve">are subject to a </w:t>
      </w:r>
      <w:r w:rsidR="008754AF">
        <w:rPr>
          <w:sz w:val="24"/>
          <w:szCs w:val="24"/>
        </w:rPr>
        <w:t>“</w:t>
      </w:r>
      <w:r w:rsidR="00870FBA" w:rsidRPr="00A41E0B">
        <w:rPr>
          <w:sz w:val="24"/>
          <w:szCs w:val="24"/>
        </w:rPr>
        <w:t>dual subordination</w:t>
      </w:r>
      <w:r w:rsidR="008754AF">
        <w:rPr>
          <w:sz w:val="24"/>
          <w:szCs w:val="24"/>
        </w:rPr>
        <w:t>”</w:t>
      </w:r>
      <w:r w:rsidR="00870FBA" w:rsidRPr="00A41E0B">
        <w:rPr>
          <w:sz w:val="24"/>
          <w:szCs w:val="24"/>
        </w:rPr>
        <w:t xml:space="preserve">, at </w:t>
      </w:r>
      <w:r w:rsidR="00206108">
        <w:rPr>
          <w:sz w:val="24"/>
          <w:szCs w:val="24"/>
        </w:rPr>
        <w:t xml:space="preserve">once responsible to agencies of the national government </w:t>
      </w:r>
      <w:r w:rsidR="00870FBA" w:rsidRPr="00A41E0B">
        <w:rPr>
          <w:sz w:val="24"/>
          <w:szCs w:val="24"/>
        </w:rPr>
        <w:t>and their democratically-elected councils</w:t>
      </w:r>
      <w:r w:rsidR="00870FBA" w:rsidRPr="00A41E0B">
        <w:rPr>
          <w:rStyle w:val="FootnoteReference"/>
          <w:sz w:val="24"/>
          <w:szCs w:val="24"/>
        </w:rPr>
        <w:footnoteReference w:id="4"/>
      </w:r>
      <w:r w:rsidR="00870FBA" w:rsidRPr="00A41E0B">
        <w:rPr>
          <w:sz w:val="24"/>
          <w:szCs w:val="24"/>
        </w:rPr>
        <w:t>.</w:t>
      </w:r>
      <w:r w:rsidR="00870FBA" w:rsidRPr="001F6857">
        <w:rPr>
          <w:sz w:val="24"/>
          <w:szCs w:val="24"/>
        </w:rPr>
        <w:t xml:space="preserve"> </w:t>
      </w:r>
      <w:r w:rsidR="008754AF">
        <w:rPr>
          <w:sz w:val="24"/>
          <w:szCs w:val="24"/>
        </w:rPr>
        <w:t xml:space="preserve">This dual subordination </w:t>
      </w:r>
      <w:r w:rsidR="001B0963">
        <w:rPr>
          <w:sz w:val="24"/>
          <w:szCs w:val="24"/>
        </w:rPr>
        <w:t xml:space="preserve">has </w:t>
      </w:r>
      <w:r w:rsidR="008754AF">
        <w:rPr>
          <w:sz w:val="24"/>
          <w:szCs w:val="24"/>
        </w:rPr>
        <w:t>confused</w:t>
      </w:r>
      <w:r w:rsidR="00870FBA" w:rsidRPr="001F6857">
        <w:rPr>
          <w:sz w:val="24"/>
          <w:szCs w:val="24"/>
        </w:rPr>
        <w:t xml:space="preserve"> of local and national authority</w:t>
      </w:r>
      <w:r w:rsidR="00C722CB">
        <w:rPr>
          <w:sz w:val="24"/>
          <w:szCs w:val="24"/>
        </w:rPr>
        <w:t xml:space="preserve"> at both levels of government. So much so, that </w:t>
      </w:r>
      <w:r w:rsidR="00481CD0">
        <w:rPr>
          <w:sz w:val="24"/>
          <w:szCs w:val="24"/>
        </w:rPr>
        <w:t>neither</w:t>
      </w:r>
      <w:r w:rsidR="00C722CB">
        <w:rPr>
          <w:sz w:val="24"/>
          <w:szCs w:val="24"/>
        </w:rPr>
        <w:t xml:space="preserve"> oblast</w:t>
      </w:r>
      <w:r w:rsidR="008754AF">
        <w:rPr>
          <w:sz w:val="24"/>
          <w:szCs w:val="24"/>
        </w:rPr>
        <w:t>s</w:t>
      </w:r>
      <w:r w:rsidR="00C722CB">
        <w:rPr>
          <w:sz w:val="24"/>
          <w:szCs w:val="24"/>
        </w:rPr>
        <w:t xml:space="preserve"> nor rayons</w:t>
      </w:r>
      <w:r w:rsidR="00A41E0B">
        <w:rPr>
          <w:sz w:val="24"/>
          <w:szCs w:val="24"/>
        </w:rPr>
        <w:t xml:space="preserve"> </w:t>
      </w:r>
      <w:r w:rsidR="00F4095F">
        <w:rPr>
          <w:sz w:val="24"/>
          <w:szCs w:val="24"/>
        </w:rPr>
        <w:t xml:space="preserve">should </w:t>
      </w:r>
      <w:r w:rsidR="00481CD0">
        <w:rPr>
          <w:sz w:val="24"/>
          <w:szCs w:val="24"/>
        </w:rPr>
        <w:t xml:space="preserve">really </w:t>
      </w:r>
      <w:r w:rsidR="00A41E0B">
        <w:rPr>
          <w:sz w:val="24"/>
          <w:szCs w:val="24"/>
        </w:rPr>
        <w:t xml:space="preserve">be considered </w:t>
      </w:r>
      <w:r w:rsidR="00481CD0">
        <w:rPr>
          <w:sz w:val="24"/>
          <w:szCs w:val="24"/>
        </w:rPr>
        <w:t>“</w:t>
      </w:r>
      <w:r w:rsidR="00A41E0B">
        <w:rPr>
          <w:sz w:val="24"/>
          <w:szCs w:val="24"/>
        </w:rPr>
        <w:t xml:space="preserve">local </w:t>
      </w:r>
      <w:r w:rsidR="00F4095F">
        <w:rPr>
          <w:sz w:val="24"/>
          <w:szCs w:val="24"/>
        </w:rPr>
        <w:t>self-government</w:t>
      </w:r>
      <w:r w:rsidR="00C722CB">
        <w:rPr>
          <w:sz w:val="24"/>
          <w:szCs w:val="24"/>
        </w:rPr>
        <w:t>s</w:t>
      </w:r>
      <w:r w:rsidR="001B0963">
        <w:rPr>
          <w:sz w:val="24"/>
          <w:szCs w:val="24"/>
        </w:rPr>
        <w:t>” at all</w:t>
      </w:r>
      <w:r w:rsidR="00DB6DEF">
        <w:rPr>
          <w:sz w:val="24"/>
          <w:szCs w:val="24"/>
        </w:rPr>
        <w:t>.</w:t>
      </w:r>
      <w:r w:rsidR="008754AF" w:rsidRPr="008754AF">
        <w:rPr>
          <w:rStyle w:val="FootnoteReference"/>
          <w:sz w:val="24"/>
          <w:szCs w:val="24"/>
        </w:rPr>
        <w:t xml:space="preserve"> </w:t>
      </w:r>
      <w:r w:rsidR="008754AF">
        <w:rPr>
          <w:rStyle w:val="FootnoteReference"/>
          <w:sz w:val="24"/>
          <w:szCs w:val="24"/>
        </w:rPr>
        <w:footnoteReference w:id="5"/>
      </w:r>
      <w:r w:rsidR="00F4095F">
        <w:rPr>
          <w:sz w:val="24"/>
          <w:szCs w:val="24"/>
        </w:rPr>
        <w:t xml:space="preserve"> </w:t>
      </w:r>
    </w:p>
    <w:p w:rsidR="00EC4EBD" w:rsidRDefault="00DB6DEF" w:rsidP="00870FBA">
      <w:pPr>
        <w:jc w:val="both"/>
        <w:rPr>
          <w:sz w:val="24"/>
          <w:szCs w:val="24"/>
        </w:rPr>
      </w:pPr>
      <w:r>
        <w:rPr>
          <w:sz w:val="24"/>
          <w:szCs w:val="24"/>
        </w:rPr>
        <w:t xml:space="preserve">Finally, </w:t>
      </w:r>
      <w:r w:rsidR="008754AF">
        <w:rPr>
          <w:sz w:val="24"/>
          <w:szCs w:val="24"/>
        </w:rPr>
        <w:t xml:space="preserve">Ukraine’s efforts to decentralize </w:t>
      </w:r>
      <w:r>
        <w:rPr>
          <w:sz w:val="24"/>
          <w:szCs w:val="24"/>
        </w:rPr>
        <w:t>have been</w:t>
      </w:r>
      <w:r w:rsidR="008754AF">
        <w:rPr>
          <w:sz w:val="24"/>
          <w:szCs w:val="24"/>
        </w:rPr>
        <w:t xml:space="preserve"> seriously undermined</w:t>
      </w:r>
      <w:r>
        <w:rPr>
          <w:sz w:val="24"/>
          <w:szCs w:val="24"/>
        </w:rPr>
        <w:t xml:space="preserve"> by </w:t>
      </w:r>
      <w:r w:rsidR="008754AF">
        <w:rPr>
          <w:sz w:val="24"/>
          <w:szCs w:val="24"/>
        </w:rPr>
        <w:t xml:space="preserve">national government’s </w:t>
      </w:r>
      <w:r>
        <w:rPr>
          <w:sz w:val="24"/>
          <w:szCs w:val="24"/>
        </w:rPr>
        <w:t>maintenance of centrally imposed</w:t>
      </w:r>
      <w:r w:rsidR="00481CD0">
        <w:rPr>
          <w:sz w:val="24"/>
          <w:szCs w:val="24"/>
        </w:rPr>
        <w:t xml:space="preserve"> expenditure norms for social sector functions. I</w:t>
      </w:r>
      <w:r w:rsidR="00870FBA">
        <w:rPr>
          <w:sz w:val="24"/>
          <w:szCs w:val="24"/>
        </w:rPr>
        <w:t>n</w:t>
      </w:r>
      <w:r w:rsidR="00D232EF">
        <w:rPr>
          <w:sz w:val="24"/>
          <w:szCs w:val="24"/>
        </w:rPr>
        <w:t xml:space="preserve"> </w:t>
      </w:r>
      <w:r w:rsidR="00EC4EBD">
        <w:rPr>
          <w:sz w:val="24"/>
          <w:szCs w:val="24"/>
        </w:rPr>
        <w:t xml:space="preserve">the early 1990s, most </w:t>
      </w:r>
      <w:r w:rsidR="00D232EF">
        <w:rPr>
          <w:sz w:val="24"/>
          <w:szCs w:val="24"/>
        </w:rPr>
        <w:t xml:space="preserve">post-communist </w:t>
      </w:r>
      <w:r w:rsidR="00EC4EBD">
        <w:rPr>
          <w:sz w:val="24"/>
          <w:szCs w:val="24"/>
        </w:rPr>
        <w:t xml:space="preserve">countries assigned their </w:t>
      </w:r>
      <w:r w:rsidR="00D232EF">
        <w:rPr>
          <w:sz w:val="24"/>
          <w:szCs w:val="24"/>
        </w:rPr>
        <w:t xml:space="preserve">newly created local governments responsibility for </w:t>
      </w:r>
      <w:r w:rsidR="00EC4EBD">
        <w:rPr>
          <w:sz w:val="24"/>
          <w:szCs w:val="24"/>
        </w:rPr>
        <w:t>delivering basic urban services a</w:t>
      </w:r>
      <w:r>
        <w:rPr>
          <w:sz w:val="24"/>
          <w:szCs w:val="24"/>
        </w:rPr>
        <w:t>nd only later devolved to them --</w:t>
      </w:r>
      <w:r w:rsidR="00D232EF">
        <w:rPr>
          <w:sz w:val="24"/>
          <w:szCs w:val="24"/>
        </w:rPr>
        <w:t>typically limited</w:t>
      </w:r>
      <w:r>
        <w:rPr>
          <w:sz w:val="24"/>
          <w:szCs w:val="24"/>
        </w:rPr>
        <w:t xml:space="preserve">-- roles in </w:t>
      </w:r>
      <w:r w:rsidR="00EC4EBD">
        <w:rPr>
          <w:sz w:val="24"/>
          <w:szCs w:val="24"/>
        </w:rPr>
        <w:t>education</w:t>
      </w:r>
      <w:r>
        <w:rPr>
          <w:sz w:val="24"/>
          <w:szCs w:val="24"/>
        </w:rPr>
        <w:t xml:space="preserve">, social welfare, and health. </w:t>
      </w:r>
      <w:r w:rsidR="00EC4EBD">
        <w:rPr>
          <w:sz w:val="24"/>
          <w:szCs w:val="24"/>
        </w:rPr>
        <w:t xml:space="preserve">Ukraine, by contrast, </w:t>
      </w:r>
      <w:r w:rsidR="00F11263">
        <w:rPr>
          <w:sz w:val="24"/>
          <w:szCs w:val="24"/>
        </w:rPr>
        <w:t>almost immediately</w:t>
      </w:r>
      <w:r w:rsidR="00D232EF">
        <w:rPr>
          <w:sz w:val="24"/>
          <w:szCs w:val="24"/>
        </w:rPr>
        <w:t xml:space="preserve"> </w:t>
      </w:r>
      <w:r w:rsidR="00EC4EBD">
        <w:rPr>
          <w:sz w:val="24"/>
          <w:szCs w:val="24"/>
        </w:rPr>
        <w:t>made oblasts, rayons</w:t>
      </w:r>
      <w:r>
        <w:rPr>
          <w:sz w:val="24"/>
          <w:szCs w:val="24"/>
        </w:rPr>
        <w:t>,</w:t>
      </w:r>
      <w:r w:rsidR="00EC4EBD">
        <w:rPr>
          <w:sz w:val="24"/>
          <w:szCs w:val="24"/>
        </w:rPr>
        <w:t xml:space="preserve"> and </w:t>
      </w:r>
      <w:r w:rsidR="00481CD0">
        <w:rPr>
          <w:sz w:val="24"/>
          <w:szCs w:val="24"/>
        </w:rPr>
        <w:t xml:space="preserve">170 </w:t>
      </w:r>
      <w:r w:rsidR="00EC4EBD">
        <w:rPr>
          <w:sz w:val="24"/>
          <w:szCs w:val="24"/>
        </w:rPr>
        <w:t xml:space="preserve">so-called </w:t>
      </w:r>
      <w:r w:rsidR="00481CD0">
        <w:rPr>
          <w:sz w:val="24"/>
          <w:szCs w:val="24"/>
        </w:rPr>
        <w:t>Cities of Oblast</w:t>
      </w:r>
      <w:r w:rsidR="00F11263">
        <w:rPr>
          <w:sz w:val="24"/>
          <w:szCs w:val="24"/>
        </w:rPr>
        <w:t xml:space="preserve"> Si</w:t>
      </w:r>
      <w:r w:rsidR="00481CD0">
        <w:rPr>
          <w:sz w:val="24"/>
          <w:szCs w:val="24"/>
        </w:rPr>
        <w:t>gnificance</w:t>
      </w:r>
      <w:r w:rsidR="00EC4EBD">
        <w:rPr>
          <w:sz w:val="24"/>
          <w:szCs w:val="24"/>
        </w:rPr>
        <w:t xml:space="preserve"> </w:t>
      </w:r>
      <w:r w:rsidR="00F11263">
        <w:rPr>
          <w:sz w:val="24"/>
          <w:szCs w:val="24"/>
        </w:rPr>
        <w:t>(COS</w:t>
      </w:r>
      <w:r>
        <w:rPr>
          <w:sz w:val="24"/>
          <w:szCs w:val="24"/>
        </w:rPr>
        <w:t xml:space="preserve"> or Cities</w:t>
      </w:r>
      <w:r w:rsidR="008754AF">
        <w:rPr>
          <w:sz w:val="24"/>
          <w:szCs w:val="24"/>
        </w:rPr>
        <w:t xml:space="preserve">) </w:t>
      </w:r>
      <w:r w:rsidR="008754AF">
        <w:rPr>
          <w:rStyle w:val="FootnoteReference"/>
          <w:sz w:val="24"/>
          <w:szCs w:val="24"/>
        </w:rPr>
        <w:t xml:space="preserve"> </w:t>
      </w:r>
      <w:r w:rsidR="00481CD0">
        <w:rPr>
          <w:sz w:val="24"/>
          <w:szCs w:val="24"/>
        </w:rPr>
        <w:lastRenderedPageBreak/>
        <w:t>responsible f</w:t>
      </w:r>
      <w:r w:rsidR="00870FBA">
        <w:rPr>
          <w:sz w:val="24"/>
          <w:szCs w:val="24"/>
        </w:rPr>
        <w:t xml:space="preserve">or </w:t>
      </w:r>
      <w:r w:rsidR="00481CD0">
        <w:rPr>
          <w:sz w:val="24"/>
          <w:szCs w:val="24"/>
        </w:rPr>
        <w:t xml:space="preserve">both </w:t>
      </w:r>
      <w:r w:rsidR="00EC4EBD">
        <w:rPr>
          <w:sz w:val="24"/>
          <w:szCs w:val="24"/>
        </w:rPr>
        <w:t xml:space="preserve">basic public services and much </w:t>
      </w:r>
      <w:r w:rsidR="00F11263">
        <w:rPr>
          <w:sz w:val="24"/>
          <w:szCs w:val="24"/>
        </w:rPr>
        <w:t xml:space="preserve">of </w:t>
      </w:r>
      <w:r w:rsidR="00870FBA">
        <w:rPr>
          <w:sz w:val="24"/>
          <w:szCs w:val="24"/>
        </w:rPr>
        <w:t>the country’s health, education, and social welfare systems</w:t>
      </w:r>
      <w:r w:rsidR="008754AF">
        <w:rPr>
          <w:rStyle w:val="FootnoteReference"/>
          <w:sz w:val="24"/>
          <w:szCs w:val="24"/>
        </w:rPr>
        <w:footnoteReference w:id="6"/>
      </w:r>
      <w:r w:rsidR="00EC4EBD">
        <w:rPr>
          <w:sz w:val="24"/>
          <w:szCs w:val="24"/>
        </w:rPr>
        <w:t xml:space="preserve">. </w:t>
      </w:r>
    </w:p>
    <w:p w:rsidR="00F11263" w:rsidRDefault="00DB6DEF" w:rsidP="00870FBA">
      <w:pPr>
        <w:jc w:val="both"/>
        <w:rPr>
          <w:sz w:val="24"/>
          <w:szCs w:val="24"/>
        </w:rPr>
      </w:pPr>
      <w:r>
        <w:rPr>
          <w:sz w:val="24"/>
          <w:szCs w:val="24"/>
        </w:rPr>
        <w:t>To finance these social sector responsibilities o</w:t>
      </w:r>
      <w:r w:rsidR="00F11263">
        <w:rPr>
          <w:sz w:val="24"/>
          <w:szCs w:val="24"/>
        </w:rPr>
        <w:t xml:space="preserve">blasts, rayons, and COS, were given </w:t>
      </w:r>
      <w:r w:rsidR="008754AF">
        <w:rPr>
          <w:sz w:val="24"/>
          <w:szCs w:val="24"/>
        </w:rPr>
        <w:t>100%</w:t>
      </w:r>
      <w:r w:rsidR="00F11263">
        <w:rPr>
          <w:sz w:val="24"/>
          <w:szCs w:val="24"/>
        </w:rPr>
        <w:t xml:space="preserve"> of the Personal Income Tax (PIT) generated in their jurisdiction</w:t>
      </w:r>
      <w:r>
        <w:rPr>
          <w:sz w:val="24"/>
          <w:szCs w:val="24"/>
        </w:rPr>
        <w:t>s</w:t>
      </w:r>
      <w:r w:rsidR="00F11263">
        <w:rPr>
          <w:sz w:val="24"/>
          <w:szCs w:val="24"/>
        </w:rPr>
        <w:t>.</w:t>
      </w:r>
      <w:r w:rsidR="0039705F">
        <w:rPr>
          <w:sz w:val="24"/>
          <w:szCs w:val="24"/>
        </w:rPr>
        <w:t xml:space="preserve"> But b</w:t>
      </w:r>
      <w:r w:rsidR="00870FBA">
        <w:rPr>
          <w:sz w:val="24"/>
          <w:szCs w:val="24"/>
        </w:rPr>
        <w:t xml:space="preserve">ecause </w:t>
      </w:r>
      <w:r w:rsidR="0039705F">
        <w:rPr>
          <w:sz w:val="24"/>
          <w:szCs w:val="24"/>
        </w:rPr>
        <w:t xml:space="preserve">economic activity </w:t>
      </w:r>
      <w:r w:rsidR="00870FBA">
        <w:rPr>
          <w:sz w:val="24"/>
          <w:szCs w:val="24"/>
        </w:rPr>
        <w:t xml:space="preserve">differed </w:t>
      </w:r>
      <w:r w:rsidR="0039705F">
        <w:rPr>
          <w:sz w:val="24"/>
          <w:szCs w:val="24"/>
        </w:rPr>
        <w:t>dramatically</w:t>
      </w:r>
      <w:r>
        <w:rPr>
          <w:sz w:val="24"/>
          <w:szCs w:val="24"/>
        </w:rPr>
        <w:t xml:space="preserve"> from place to place</w:t>
      </w:r>
      <w:r w:rsidR="00870FBA">
        <w:rPr>
          <w:sz w:val="24"/>
          <w:szCs w:val="24"/>
        </w:rPr>
        <w:t>, the</w:t>
      </w:r>
      <w:r w:rsidR="008754AF">
        <w:rPr>
          <w:sz w:val="24"/>
          <w:szCs w:val="24"/>
        </w:rPr>
        <w:t xml:space="preserve">ir </w:t>
      </w:r>
      <w:r w:rsidR="00870FBA">
        <w:rPr>
          <w:sz w:val="24"/>
          <w:szCs w:val="24"/>
        </w:rPr>
        <w:t>PIT share</w:t>
      </w:r>
      <w:r w:rsidR="008754AF">
        <w:rPr>
          <w:sz w:val="24"/>
          <w:szCs w:val="24"/>
        </w:rPr>
        <w:t>s</w:t>
      </w:r>
      <w:r w:rsidR="00870FBA">
        <w:rPr>
          <w:sz w:val="24"/>
          <w:szCs w:val="24"/>
        </w:rPr>
        <w:t xml:space="preserve"> yielded very different levels of revenue </w:t>
      </w:r>
      <w:r>
        <w:rPr>
          <w:sz w:val="24"/>
          <w:szCs w:val="24"/>
        </w:rPr>
        <w:t xml:space="preserve">across the country. </w:t>
      </w:r>
      <w:r w:rsidR="00870FBA">
        <w:rPr>
          <w:sz w:val="24"/>
          <w:szCs w:val="24"/>
        </w:rPr>
        <w:t xml:space="preserve">Indeed, </w:t>
      </w:r>
      <w:r w:rsidR="00F11263">
        <w:rPr>
          <w:sz w:val="24"/>
          <w:szCs w:val="24"/>
        </w:rPr>
        <w:t xml:space="preserve">by the end of the 1990s it </w:t>
      </w:r>
      <w:r>
        <w:rPr>
          <w:sz w:val="24"/>
          <w:szCs w:val="24"/>
        </w:rPr>
        <w:t>was pa</w:t>
      </w:r>
      <w:r w:rsidR="00F11263">
        <w:rPr>
          <w:sz w:val="24"/>
          <w:szCs w:val="24"/>
        </w:rPr>
        <w:t>infully clear that while a few well-endowed jurisdictions</w:t>
      </w:r>
      <w:r w:rsidR="00870FBA">
        <w:rPr>
          <w:sz w:val="24"/>
          <w:szCs w:val="24"/>
        </w:rPr>
        <w:t xml:space="preserve"> </w:t>
      </w:r>
      <w:r>
        <w:rPr>
          <w:sz w:val="24"/>
          <w:szCs w:val="24"/>
        </w:rPr>
        <w:t xml:space="preserve">could </w:t>
      </w:r>
      <w:r w:rsidR="00870FBA">
        <w:rPr>
          <w:sz w:val="24"/>
          <w:szCs w:val="24"/>
        </w:rPr>
        <w:t xml:space="preserve">finance their social sector responsibilities from their PIT shares, </w:t>
      </w:r>
      <w:r w:rsidR="00F11263">
        <w:rPr>
          <w:sz w:val="24"/>
          <w:szCs w:val="24"/>
        </w:rPr>
        <w:t xml:space="preserve">most could not. </w:t>
      </w:r>
    </w:p>
    <w:p w:rsidR="00526CDE" w:rsidRDefault="00963B08" w:rsidP="00870FBA">
      <w:pPr>
        <w:jc w:val="both"/>
        <w:rPr>
          <w:sz w:val="24"/>
          <w:szCs w:val="24"/>
        </w:rPr>
      </w:pPr>
      <w:r>
        <w:rPr>
          <w:sz w:val="24"/>
          <w:szCs w:val="24"/>
        </w:rPr>
        <w:t>In 2001, the</w:t>
      </w:r>
      <w:r w:rsidR="00870FBA">
        <w:rPr>
          <w:sz w:val="24"/>
          <w:szCs w:val="24"/>
        </w:rPr>
        <w:t xml:space="preserve"> government </w:t>
      </w:r>
      <w:r w:rsidR="00F11263">
        <w:rPr>
          <w:sz w:val="24"/>
          <w:szCs w:val="24"/>
        </w:rPr>
        <w:t>attempted to</w:t>
      </w:r>
      <w:r w:rsidR="008754AF">
        <w:rPr>
          <w:sz w:val="24"/>
          <w:szCs w:val="24"/>
        </w:rPr>
        <w:t xml:space="preserve"> correct these imbalances</w:t>
      </w:r>
      <w:r>
        <w:rPr>
          <w:sz w:val="24"/>
          <w:szCs w:val="24"/>
        </w:rPr>
        <w:t xml:space="preserve"> by </w:t>
      </w:r>
      <w:r w:rsidR="009E5520">
        <w:rPr>
          <w:sz w:val="24"/>
          <w:szCs w:val="24"/>
        </w:rPr>
        <w:t>reform</w:t>
      </w:r>
      <w:r>
        <w:rPr>
          <w:sz w:val="24"/>
          <w:szCs w:val="24"/>
        </w:rPr>
        <w:t xml:space="preserve">ing </w:t>
      </w:r>
      <w:r w:rsidR="009E5520">
        <w:rPr>
          <w:sz w:val="24"/>
          <w:szCs w:val="24"/>
        </w:rPr>
        <w:t xml:space="preserve">the </w:t>
      </w:r>
      <w:r>
        <w:rPr>
          <w:sz w:val="24"/>
          <w:szCs w:val="24"/>
        </w:rPr>
        <w:t xml:space="preserve">country’s </w:t>
      </w:r>
      <w:r w:rsidR="009E5520">
        <w:rPr>
          <w:sz w:val="24"/>
          <w:szCs w:val="24"/>
        </w:rPr>
        <w:t>Budget Code. The</w:t>
      </w:r>
      <w:r>
        <w:rPr>
          <w:sz w:val="24"/>
          <w:szCs w:val="24"/>
        </w:rPr>
        <w:t xml:space="preserve"> new Code required </w:t>
      </w:r>
      <w:r w:rsidR="009E5520">
        <w:rPr>
          <w:sz w:val="24"/>
          <w:szCs w:val="24"/>
        </w:rPr>
        <w:t xml:space="preserve">the national government </w:t>
      </w:r>
      <w:r>
        <w:rPr>
          <w:sz w:val="24"/>
          <w:szCs w:val="24"/>
        </w:rPr>
        <w:t xml:space="preserve">to </w:t>
      </w:r>
      <w:r w:rsidR="009E5520">
        <w:rPr>
          <w:sz w:val="24"/>
          <w:szCs w:val="24"/>
        </w:rPr>
        <w:t>calculate</w:t>
      </w:r>
      <w:r w:rsidR="00F11263">
        <w:rPr>
          <w:sz w:val="24"/>
          <w:szCs w:val="24"/>
        </w:rPr>
        <w:t xml:space="preserve"> </w:t>
      </w:r>
      <w:r w:rsidR="001B2C5D">
        <w:rPr>
          <w:sz w:val="24"/>
          <w:szCs w:val="24"/>
        </w:rPr>
        <w:t xml:space="preserve">normative </w:t>
      </w:r>
      <w:r w:rsidR="00526CDE">
        <w:rPr>
          <w:sz w:val="24"/>
          <w:szCs w:val="24"/>
        </w:rPr>
        <w:t xml:space="preserve">social sector </w:t>
      </w:r>
      <w:r w:rsidR="001B2C5D">
        <w:rPr>
          <w:sz w:val="24"/>
          <w:szCs w:val="24"/>
        </w:rPr>
        <w:t>expenditure need</w:t>
      </w:r>
      <w:r w:rsidR="009E5520">
        <w:rPr>
          <w:sz w:val="24"/>
          <w:szCs w:val="24"/>
        </w:rPr>
        <w:t>s</w:t>
      </w:r>
      <w:r w:rsidR="001B2C5D">
        <w:rPr>
          <w:sz w:val="24"/>
          <w:szCs w:val="24"/>
        </w:rPr>
        <w:t xml:space="preserve"> </w:t>
      </w:r>
      <w:r>
        <w:rPr>
          <w:sz w:val="24"/>
          <w:szCs w:val="24"/>
        </w:rPr>
        <w:t>for every subnational government.</w:t>
      </w:r>
      <w:r w:rsidR="00526CDE">
        <w:rPr>
          <w:sz w:val="24"/>
          <w:szCs w:val="24"/>
        </w:rPr>
        <w:t xml:space="preserve"> </w:t>
      </w:r>
      <w:r w:rsidR="001B2C5D">
        <w:rPr>
          <w:sz w:val="24"/>
          <w:szCs w:val="24"/>
        </w:rPr>
        <w:t>The</w:t>
      </w:r>
      <w:r w:rsidR="00526CDE">
        <w:rPr>
          <w:sz w:val="24"/>
          <w:szCs w:val="24"/>
        </w:rPr>
        <w:t xml:space="preserve">se </w:t>
      </w:r>
      <w:r>
        <w:rPr>
          <w:sz w:val="24"/>
          <w:szCs w:val="24"/>
        </w:rPr>
        <w:t xml:space="preserve">need </w:t>
      </w:r>
      <w:r w:rsidR="00526CDE">
        <w:rPr>
          <w:sz w:val="24"/>
          <w:szCs w:val="24"/>
        </w:rPr>
        <w:t>calculations</w:t>
      </w:r>
      <w:r>
        <w:rPr>
          <w:sz w:val="24"/>
          <w:szCs w:val="24"/>
        </w:rPr>
        <w:t xml:space="preserve"> </w:t>
      </w:r>
      <w:r w:rsidR="00526CDE">
        <w:rPr>
          <w:sz w:val="24"/>
          <w:szCs w:val="24"/>
        </w:rPr>
        <w:t>were then compared with the</w:t>
      </w:r>
      <w:r w:rsidR="001B2C5D">
        <w:rPr>
          <w:sz w:val="24"/>
          <w:szCs w:val="24"/>
        </w:rPr>
        <w:t xml:space="preserve"> expected yield of PIT i</w:t>
      </w:r>
      <w:r w:rsidR="00870FBA">
        <w:rPr>
          <w:sz w:val="24"/>
          <w:szCs w:val="24"/>
        </w:rPr>
        <w:t>n every jurisdiction</w:t>
      </w:r>
      <w:r w:rsidR="00526CDE">
        <w:rPr>
          <w:sz w:val="24"/>
          <w:szCs w:val="24"/>
        </w:rPr>
        <w:t xml:space="preserve">, and </w:t>
      </w:r>
      <w:r w:rsidR="001B2C5D">
        <w:rPr>
          <w:sz w:val="24"/>
          <w:szCs w:val="24"/>
        </w:rPr>
        <w:t>subnational governments whose expenditure ne</w:t>
      </w:r>
      <w:r w:rsidR="00526CDE">
        <w:rPr>
          <w:sz w:val="24"/>
          <w:szCs w:val="24"/>
        </w:rPr>
        <w:t>eds exceeded their PIT shares were given an</w:t>
      </w:r>
      <w:r w:rsidR="001B2C5D">
        <w:rPr>
          <w:sz w:val="24"/>
          <w:szCs w:val="24"/>
        </w:rPr>
        <w:t xml:space="preserve"> equalization grant. </w:t>
      </w:r>
    </w:p>
    <w:p w:rsidR="00AC6A5A" w:rsidRDefault="00963B08" w:rsidP="00870FBA">
      <w:pPr>
        <w:jc w:val="both"/>
        <w:rPr>
          <w:sz w:val="24"/>
          <w:szCs w:val="24"/>
        </w:rPr>
      </w:pPr>
      <w:r>
        <w:rPr>
          <w:sz w:val="24"/>
          <w:szCs w:val="24"/>
        </w:rPr>
        <w:t>These reforms significantly</w:t>
      </w:r>
      <w:r w:rsidR="001B2C5D">
        <w:rPr>
          <w:sz w:val="24"/>
          <w:szCs w:val="24"/>
        </w:rPr>
        <w:t xml:space="preserve"> impro</w:t>
      </w:r>
      <w:r>
        <w:rPr>
          <w:sz w:val="24"/>
          <w:szCs w:val="24"/>
        </w:rPr>
        <w:t>ved</w:t>
      </w:r>
      <w:r w:rsidR="008754AF">
        <w:rPr>
          <w:sz w:val="24"/>
          <w:szCs w:val="24"/>
        </w:rPr>
        <w:t xml:space="preserve"> </w:t>
      </w:r>
      <w:r w:rsidR="00526CDE">
        <w:rPr>
          <w:sz w:val="24"/>
          <w:szCs w:val="24"/>
        </w:rPr>
        <w:t>the</w:t>
      </w:r>
      <w:r w:rsidR="001B2C5D">
        <w:rPr>
          <w:sz w:val="24"/>
          <w:szCs w:val="24"/>
        </w:rPr>
        <w:t xml:space="preserve"> </w:t>
      </w:r>
      <w:r w:rsidR="008754AF">
        <w:rPr>
          <w:sz w:val="24"/>
          <w:szCs w:val="24"/>
        </w:rPr>
        <w:t xml:space="preserve">adequacy and </w:t>
      </w:r>
      <w:r w:rsidR="001B2C5D">
        <w:rPr>
          <w:sz w:val="24"/>
          <w:szCs w:val="24"/>
        </w:rPr>
        <w:t>equity of the</w:t>
      </w:r>
      <w:r w:rsidR="00526CDE">
        <w:rPr>
          <w:sz w:val="24"/>
          <w:szCs w:val="24"/>
        </w:rPr>
        <w:t xml:space="preserve"> intergovernmental finance</w:t>
      </w:r>
      <w:r w:rsidR="001B2C5D">
        <w:rPr>
          <w:sz w:val="24"/>
          <w:szCs w:val="24"/>
        </w:rPr>
        <w:t xml:space="preserve"> system. But</w:t>
      </w:r>
      <w:r>
        <w:rPr>
          <w:sz w:val="24"/>
          <w:szCs w:val="24"/>
        </w:rPr>
        <w:t xml:space="preserve"> they</w:t>
      </w:r>
      <w:r w:rsidR="001B2C5D">
        <w:rPr>
          <w:sz w:val="24"/>
          <w:szCs w:val="24"/>
        </w:rPr>
        <w:t xml:space="preserve"> left</w:t>
      </w:r>
      <w:r w:rsidR="00526CDE">
        <w:rPr>
          <w:sz w:val="24"/>
          <w:szCs w:val="24"/>
        </w:rPr>
        <w:t xml:space="preserve"> </w:t>
      </w:r>
      <w:r w:rsidR="009E5520">
        <w:rPr>
          <w:sz w:val="24"/>
          <w:szCs w:val="24"/>
        </w:rPr>
        <w:t xml:space="preserve">a </w:t>
      </w:r>
      <w:r w:rsidR="001B2C5D">
        <w:rPr>
          <w:sz w:val="24"/>
          <w:szCs w:val="24"/>
        </w:rPr>
        <w:t>major</w:t>
      </w:r>
      <w:r w:rsidR="00526CDE">
        <w:rPr>
          <w:sz w:val="24"/>
          <w:szCs w:val="24"/>
        </w:rPr>
        <w:t xml:space="preserve"> problem</w:t>
      </w:r>
      <w:r w:rsidR="009E5520">
        <w:rPr>
          <w:sz w:val="24"/>
          <w:szCs w:val="24"/>
        </w:rPr>
        <w:t xml:space="preserve"> unresolved. In short, line ministries were allowed to require subnational governments to spend money on social sector fu</w:t>
      </w:r>
      <w:r>
        <w:rPr>
          <w:sz w:val="24"/>
          <w:szCs w:val="24"/>
        </w:rPr>
        <w:t>nctions in accordance with standards set by the ministries themselves. These stand</w:t>
      </w:r>
      <w:r w:rsidR="00AC6A5A">
        <w:rPr>
          <w:sz w:val="24"/>
          <w:szCs w:val="24"/>
        </w:rPr>
        <w:t xml:space="preserve">ards were set </w:t>
      </w:r>
      <w:r w:rsidR="009E5520">
        <w:rPr>
          <w:sz w:val="24"/>
          <w:szCs w:val="24"/>
        </w:rPr>
        <w:t>in completely different ways than</w:t>
      </w:r>
      <w:r w:rsidR="00AC6A5A">
        <w:rPr>
          <w:sz w:val="24"/>
          <w:szCs w:val="24"/>
        </w:rPr>
        <w:t xml:space="preserve"> those used to calculate the normative </w:t>
      </w:r>
      <w:r w:rsidR="009E5520">
        <w:rPr>
          <w:sz w:val="24"/>
          <w:szCs w:val="24"/>
        </w:rPr>
        <w:t xml:space="preserve">expenditure needs </w:t>
      </w:r>
      <w:r w:rsidR="00AC6A5A">
        <w:rPr>
          <w:sz w:val="24"/>
          <w:szCs w:val="24"/>
        </w:rPr>
        <w:t>–and hence the equalization grants-- of subnational governments (e.g. per capita vs. X UAH per hospital bed)</w:t>
      </w:r>
      <w:r w:rsidR="009E5520">
        <w:rPr>
          <w:sz w:val="24"/>
          <w:szCs w:val="24"/>
        </w:rPr>
        <w:t>.</w:t>
      </w:r>
    </w:p>
    <w:p w:rsidR="004E6B71" w:rsidRDefault="00AC6A5A" w:rsidP="00870FBA">
      <w:pPr>
        <w:jc w:val="both"/>
        <w:rPr>
          <w:sz w:val="24"/>
          <w:szCs w:val="24"/>
        </w:rPr>
      </w:pPr>
      <w:r>
        <w:rPr>
          <w:sz w:val="24"/>
          <w:szCs w:val="24"/>
        </w:rPr>
        <w:t xml:space="preserve">And not surprisingly, the ministerial requirements were much higher, generating deficits almost everywhere. </w:t>
      </w:r>
      <w:r w:rsidR="009E5520">
        <w:rPr>
          <w:sz w:val="24"/>
          <w:szCs w:val="24"/>
        </w:rPr>
        <w:t xml:space="preserve"> </w:t>
      </w:r>
      <w:r>
        <w:rPr>
          <w:sz w:val="24"/>
          <w:szCs w:val="24"/>
        </w:rPr>
        <w:t xml:space="preserve">Worse, </w:t>
      </w:r>
      <w:r w:rsidR="004E6B71">
        <w:rPr>
          <w:sz w:val="24"/>
          <w:szCs w:val="24"/>
        </w:rPr>
        <w:t xml:space="preserve">ministries exercised these requirements through the state-appointed executives </w:t>
      </w:r>
      <w:r w:rsidR="00A708AD">
        <w:rPr>
          <w:sz w:val="24"/>
          <w:szCs w:val="24"/>
        </w:rPr>
        <w:t xml:space="preserve">that remained </w:t>
      </w:r>
      <w:r w:rsidR="004E6B71">
        <w:rPr>
          <w:sz w:val="24"/>
          <w:szCs w:val="24"/>
        </w:rPr>
        <w:t xml:space="preserve">at the oblast and rayon levels –sometimes in line with the </w:t>
      </w:r>
      <w:r w:rsidR="00A708AD">
        <w:rPr>
          <w:sz w:val="24"/>
          <w:szCs w:val="24"/>
        </w:rPr>
        <w:t>wishes of</w:t>
      </w:r>
      <w:r>
        <w:rPr>
          <w:sz w:val="24"/>
          <w:szCs w:val="24"/>
        </w:rPr>
        <w:t xml:space="preserve"> their</w:t>
      </w:r>
      <w:r w:rsidR="00A708AD">
        <w:rPr>
          <w:sz w:val="24"/>
          <w:szCs w:val="24"/>
        </w:rPr>
        <w:t xml:space="preserve"> democratically-elected </w:t>
      </w:r>
      <w:r>
        <w:rPr>
          <w:sz w:val="24"/>
          <w:szCs w:val="24"/>
        </w:rPr>
        <w:t xml:space="preserve">councils and sometimes opposition to them, </w:t>
      </w:r>
      <w:r w:rsidR="004E6B71">
        <w:rPr>
          <w:sz w:val="24"/>
          <w:szCs w:val="24"/>
        </w:rPr>
        <w:t xml:space="preserve">but </w:t>
      </w:r>
      <w:r w:rsidR="00A708AD">
        <w:rPr>
          <w:sz w:val="24"/>
          <w:szCs w:val="24"/>
        </w:rPr>
        <w:t xml:space="preserve">always confusing </w:t>
      </w:r>
      <w:r w:rsidR="00087E6D">
        <w:rPr>
          <w:sz w:val="24"/>
          <w:szCs w:val="24"/>
        </w:rPr>
        <w:t xml:space="preserve">which level of government </w:t>
      </w:r>
      <w:r w:rsidR="004E6B71">
        <w:rPr>
          <w:sz w:val="24"/>
          <w:szCs w:val="24"/>
        </w:rPr>
        <w:t xml:space="preserve">was really responsible for what. </w:t>
      </w:r>
      <w:r w:rsidR="00087E6D">
        <w:rPr>
          <w:sz w:val="24"/>
          <w:szCs w:val="24"/>
        </w:rPr>
        <w:t xml:space="preserve"> </w:t>
      </w:r>
    </w:p>
    <w:p w:rsidR="00395889" w:rsidRDefault="00A708AD" w:rsidP="00870FBA">
      <w:pPr>
        <w:jc w:val="both"/>
        <w:rPr>
          <w:sz w:val="24"/>
          <w:szCs w:val="24"/>
        </w:rPr>
      </w:pPr>
      <w:r>
        <w:rPr>
          <w:sz w:val="24"/>
          <w:szCs w:val="24"/>
        </w:rPr>
        <w:t xml:space="preserve">In the aftermath of </w:t>
      </w:r>
      <w:r w:rsidR="00870FBA">
        <w:rPr>
          <w:sz w:val="24"/>
          <w:szCs w:val="24"/>
        </w:rPr>
        <w:t xml:space="preserve">the </w:t>
      </w:r>
      <w:r>
        <w:rPr>
          <w:sz w:val="24"/>
          <w:szCs w:val="24"/>
        </w:rPr>
        <w:t>2005 Orange Revolution</w:t>
      </w:r>
      <w:r w:rsidR="007026CF">
        <w:rPr>
          <w:sz w:val="24"/>
          <w:szCs w:val="24"/>
        </w:rPr>
        <w:t xml:space="preserve">, a team of reformers led </w:t>
      </w:r>
      <w:r w:rsidR="00AC6A5A">
        <w:rPr>
          <w:sz w:val="24"/>
          <w:szCs w:val="24"/>
        </w:rPr>
        <w:t xml:space="preserve">by </w:t>
      </w:r>
      <w:r>
        <w:rPr>
          <w:sz w:val="24"/>
          <w:szCs w:val="24"/>
        </w:rPr>
        <w:t>Deputy Prime</w:t>
      </w:r>
      <w:r w:rsidR="003042B2">
        <w:rPr>
          <w:sz w:val="24"/>
          <w:szCs w:val="24"/>
        </w:rPr>
        <w:t xml:space="preserve"> Minister Roman </w:t>
      </w:r>
      <w:r>
        <w:rPr>
          <w:sz w:val="24"/>
          <w:szCs w:val="24"/>
        </w:rPr>
        <w:t>Beszmertnyi</w:t>
      </w:r>
      <w:r w:rsidR="00047DCD">
        <w:rPr>
          <w:sz w:val="24"/>
          <w:szCs w:val="24"/>
        </w:rPr>
        <w:t xml:space="preserve"> </w:t>
      </w:r>
      <w:r w:rsidR="00AC6A5A">
        <w:rPr>
          <w:sz w:val="24"/>
          <w:szCs w:val="24"/>
        </w:rPr>
        <w:t xml:space="preserve">drew up plans designed </w:t>
      </w:r>
      <w:r w:rsidR="00496248">
        <w:rPr>
          <w:sz w:val="24"/>
          <w:szCs w:val="24"/>
        </w:rPr>
        <w:t>t</w:t>
      </w:r>
      <w:r w:rsidR="007026CF">
        <w:rPr>
          <w:sz w:val="24"/>
          <w:szCs w:val="24"/>
        </w:rPr>
        <w:t>o make a clean break with the past</w:t>
      </w:r>
      <w:r w:rsidR="003042B2">
        <w:rPr>
          <w:sz w:val="24"/>
          <w:szCs w:val="24"/>
        </w:rPr>
        <w:t xml:space="preserve">. </w:t>
      </w:r>
      <w:r w:rsidR="00AC6A5A">
        <w:rPr>
          <w:sz w:val="24"/>
          <w:szCs w:val="24"/>
        </w:rPr>
        <w:t>These plans called for radically reducing</w:t>
      </w:r>
      <w:r w:rsidR="00496248">
        <w:rPr>
          <w:sz w:val="24"/>
          <w:szCs w:val="24"/>
        </w:rPr>
        <w:t xml:space="preserve"> the importance oblast</w:t>
      </w:r>
      <w:r w:rsidR="003042B2">
        <w:rPr>
          <w:sz w:val="24"/>
          <w:szCs w:val="24"/>
        </w:rPr>
        <w:t>s</w:t>
      </w:r>
      <w:r w:rsidR="00496248">
        <w:rPr>
          <w:sz w:val="24"/>
          <w:szCs w:val="24"/>
        </w:rPr>
        <w:t xml:space="preserve"> and rayons, </w:t>
      </w:r>
      <w:r w:rsidR="003042B2">
        <w:rPr>
          <w:sz w:val="24"/>
          <w:szCs w:val="24"/>
        </w:rPr>
        <w:t xml:space="preserve">while significantly </w:t>
      </w:r>
      <w:r w:rsidR="00496248">
        <w:rPr>
          <w:sz w:val="24"/>
          <w:szCs w:val="24"/>
        </w:rPr>
        <w:t>expanding the</w:t>
      </w:r>
      <w:r w:rsidR="003042B2">
        <w:rPr>
          <w:sz w:val="24"/>
          <w:szCs w:val="24"/>
        </w:rPr>
        <w:t xml:space="preserve"> power</w:t>
      </w:r>
      <w:r w:rsidR="00706B89">
        <w:rPr>
          <w:sz w:val="24"/>
          <w:szCs w:val="24"/>
        </w:rPr>
        <w:t xml:space="preserve"> of </w:t>
      </w:r>
      <w:r w:rsidR="003042B2">
        <w:rPr>
          <w:sz w:val="24"/>
          <w:szCs w:val="24"/>
        </w:rPr>
        <w:t>cities</w:t>
      </w:r>
      <w:r w:rsidR="00496248">
        <w:rPr>
          <w:sz w:val="24"/>
          <w:szCs w:val="24"/>
        </w:rPr>
        <w:t xml:space="preserve"> and gromada. </w:t>
      </w:r>
      <w:r w:rsidR="00AC6A5A">
        <w:rPr>
          <w:sz w:val="24"/>
          <w:szCs w:val="24"/>
        </w:rPr>
        <w:t>Beszmetnyi’s team</w:t>
      </w:r>
      <w:r w:rsidR="003042B2">
        <w:rPr>
          <w:sz w:val="24"/>
          <w:szCs w:val="24"/>
        </w:rPr>
        <w:t xml:space="preserve"> want</w:t>
      </w:r>
      <w:r w:rsidR="009818D2">
        <w:rPr>
          <w:sz w:val="24"/>
          <w:szCs w:val="24"/>
        </w:rPr>
        <w:t>ed</w:t>
      </w:r>
      <w:r w:rsidR="003042B2">
        <w:rPr>
          <w:sz w:val="24"/>
          <w:szCs w:val="24"/>
        </w:rPr>
        <w:t xml:space="preserve"> to consolidate</w:t>
      </w:r>
      <w:r w:rsidR="00496248">
        <w:rPr>
          <w:sz w:val="24"/>
          <w:szCs w:val="24"/>
        </w:rPr>
        <w:t xml:space="preserve"> Ukraine’s</w:t>
      </w:r>
      <w:r w:rsidR="003042B2">
        <w:rPr>
          <w:sz w:val="24"/>
          <w:szCs w:val="24"/>
        </w:rPr>
        <w:t xml:space="preserve"> 10,000</w:t>
      </w:r>
      <w:r w:rsidR="00496248">
        <w:rPr>
          <w:sz w:val="24"/>
          <w:szCs w:val="24"/>
        </w:rPr>
        <w:t xml:space="preserve"> groma</w:t>
      </w:r>
      <w:r w:rsidR="00AC6A5A">
        <w:rPr>
          <w:sz w:val="24"/>
          <w:szCs w:val="24"/>
        </w:rPr>
        <w:t xml:space="preserve">da into 1,200 much larger units, while </w:t>
      </w:r>
      <w:r w:rsidR="00822466">
        <w:rPr>
          <w:sz w:val="24"/>
          <w:szCs w:val="24"/>
        </w:rPr>
        <w:t>designating</w:t>
      </w:r>
      <w:r w:rsidR="00496248">
        <w:rPr>
          <w:sz w:val="24"/>
          <w:szCs w:val="24"/>
        </w:rPr>
        <w:t xml:space="preserve"> cities (COS) and t</w:t>
      </w:r>
      <w:r w:rsidR="00870FBA">
        <w:rPr>
          <w:sz w:val="24"/>
          <w:szCs w:val="24"/>
        </w:rPr>
        <w:t>hese new</w:t>
      </w:r>
      <w:r w:rsidR="00496248">
        <w:rPr>
          <w:sz w:val="24"/>
          <w:szCs w:val="24"/>
        </w:rPr>
        <w:t>ly</w:t>
      </w:r>
      <w:r w:rsidR="00870FBA">
        <w:rPr>
          <w:sz w:val="24"/>
          <w:szCs w:val="24"/>
        </w:rPr>
        <w:t xml:space="preserve"> </w:t>
      </w:r>
      <w:r w:rsidR="00870FBA" w:rsidRPr="0077064D">
        <w:rPr>
          <w:sz w:val="24"/>
          <w:szCs w:val="24"/>
        </w:rPr>
        <w:t xml:space="preserve">amalgamated gromada (AG) </w:t>
      </w:r>
      <w:r w:rsidR="00496248">
        <w:rPr>
          <w:sz w:val="24"/>
          <w:szCs w:val="24"/>
        </w:rPr>
        <w:t>as Ukraine’s</w:t>
      </w:r>
      <w:r w:rsidR="00870FBA">
        <w:rPr>
          <w:sz w:val="24"/>
          <w:szCs w:val="24"/>
        </w:rPr>
        <w:t xml:space="preserve"> </w:t>
      </w:r>
      <w:r w:rsidR="003042B2">
        <w:rPr>
          <w:sz w:val="24"/>
          <w:szCs w:val="24"/>
        </w:rPr>
        <w:t>most</w:t>
      </w:r>
      <w:r w:rsidR="00870FBA" w:rsidRPr="0077064D">
        <w:rPr>
          <w:sz w:val="24"/>
          <w:szCs w:val="24"/>
        </w:rPr>
        <w:t xml:space="preserve"> </w:t>
      </w:r>
      <w:r w:rsidR="00395889">
        <w:rPr>
          <w:sz w:val="24"/>
          <w:szCs w:val="24"/>
        </w:rPr>
        <w:t>important level</w:t>
      </w:r>
      <w:r w:rsidR="00AC6A5A">
        <w:rPr>
          <w:sz w:val="24"/>
          <w:szCs w:val="24"/>
        </w:rPr>
        <w:t xml:space="preserve"> of</w:t>
      </w:r>
      <w:r w:rsidR="00395889">
        <w:rPr>
          <w:sz w:val="24"/>
          <w:szCs w:val="24"/>
        </w:rPr>
        <w:t xml:space="preserve"> local</w:t>
      </w:r>
      <w:r w:rsidR="00822466">
        <w:rPr>
          <w:sz w:val="24"/>
          <w:szCs w:val="24"/>
        </w:rPr>
        <w:t xml:space="preserve"> self-government. </w:t>
      </w:r>
      <w:r w:rsidR="00870FBA" w:rsidRPr="0077064D">
        <w:rPr>
          <w:sz w:val="24"/>
          <w:szCs w:val="24"/>
        </w:rPr>
        <w:t xml:space="preserve"> </w:t>
      </w:r>
      <w:r w:rsidR="00822466">
        <w:rPr>
          <w:sz w:val="24"/>
          <w:szCs w:val="24"/>
        </w:rPr>
        <w:t xml:space="preserve">COS and AGs would be </w:t>
      </w:r>
      <w:r w:rsidR="00870FBA">
        <w:rPr>
          <w:sz w:val="24"/>
          <w:szCs w:val="24"/>
        </w:rPr>
        <w:t>responsible for all basic urban services, as well as for the finance and management of most schools and primary health care facilities</w:t>
      </w:r>
      <w:r w:rsidR="003042B2" w:rsidRPr="0077064D">
        <w:rPr>
          <w:rStyle w:val="FootnoteReference"/>
          <w:sz w:val="24"/>
          <w:szCs w:val="24"/>
        </w:rPr>
        <w:footnoteReference w:id="7"/>
      </w:r>
      <w:r w:rsidR="00822466">
        <w:rPr>
          <w:sz w:val="24"/>
          <w:szCs w:val="24"/>
        </w:rPr>
        <w:t>.</w:t>
      </w:r>
    </w:p>
    <w:p w:rsidR="00067BA3" w:rsidRDefault="00395889" w:rsidP="00870FBA">
      <w:pPr>
        <w:jc w:val="both"/>
        <w:rPr>
          <w:sz w:val="24"/>
          <w:szCs w:val="24"/>
        </w:rPr>
      </w:pPr>
      <w:r>
        <w:rPr>
          <w:sz w:val="24"/>
          <w:szCs w:val="24"/>
        </w:rPr>
        <w:lastRenderedPageBreak/>
        <w:t>Meanwhile, r</w:t>
      </w:r>
      <w:r w:rsidR="00870FBA">
        <w:rPr>
          <w:sz w:val="24"/>
          <w:szCs w:val="24"/>
        </w:rPr>
        <w:t>ayons would be limited to running general purpose hospitals outside of urban areas, and where necess</w:t>
      </w:r>
      <w:r w:rsidR="003042B2">
        <w:rPr>
          <w:sz w:val="24"/>
          <w:szCs w:val="24"/>
        </w:rPr>
        <w:t>ary some schools</w:t>
      </w:r>
      <w:r w:rsidR="009818D2">
        <w:rPr>
          <w:sz w:val="24"/>
          <w:szCs w:val="24"/>
        </w:rPr>
        <w:t>,</w:t>
      </w:r>
      <w:r w:rsidR="003042B2">
        <w:rPr>
          <w:sz w:val="24"/>
          <w:szCs w:val="24"/>
        </w:rPr>
        <w:t xml:space="preserve"> while </w:t>
      </w:r>
      <w:r w:rsidR="00870FBA">
        <w:rPr>
          <w:sz w:val="24"/>
          <w:szCs w:val="24"/>
        </w:rPr>
        <w:t xml:space="preserve">oblasts </w:t>
      </w:r>
      <w:r w:rsidR="002E30FB">
        <w:rPr>
          <w:sz w:val="24"/>
          <w:szCs w:val="24"/>
        </w:rPr>
        <w:t xml:space="preserve">would </w:t>
      </w:r>
      <w:r w:rsidR="00822466">
        <w:rPr>
          <w:sz w:val="24"/>
          <w:szCs w:val="24"/>
        </w:rPr>
        <w:t xml:space="preserve">be responsible for </w:t>
      </w:r>
      <w:r w:rsidR="00870FBA">
        <w:rPr>
          <w:sz w:val="24"/>
          <w:szCs w:val="24"/>
        </w:rPr>
        <w:t>specialized health ca</w:t>
      </w:r>
      <w:r w:rsidR="002E30FB">
        <w:rPr>
          <w:sz w:val="24"/>
          <w:szCs w:val="24"/>
        </w:rPr>
        <w:t xml:space="preserve">re facilities, some </w:t>
      </w:r>
      <w:r w:rsidR="00870FBA">
        <w:rPr>
          <w:sz w:val="24"/>
          <w:szCs w:val="24"/>
        </w:rPr>
        <w:t>educatio</w:t>
      </w:r>
      <w:r w:rsidR="00822466">
        <w:rPr>
          <w:sz w:val="24"/>
          <w:szCs w:val="24"/>
        </w:rPr>
        <w:t>nal institutions, and</w:t>
      </w:r>
      <w:r w:rsidR="00870FBA">
        <w:rPr>
          <w:sz w:val="24"/>
          <w:szCs w:val="24"/>
        </w:rPr>
        <w:t xml:space="preserve"> regional planning. </w:t>
      </w:r>
      <w:r w:rsidR="009818D2">
        <w:rPr>
          <w:sz w:val="24"/>
          <w:szCs w:val="24"/>
        </w:rPr>
        <w:t xml:space="preserve">Reformers also </w:t>
      </w:r>
      <w:r w:rsidR="002E30FB">
        <w:rPr>
          <w:sz w:val="24"/>
          <w:szCs w:val="24"/>
        </w:rPr>
        <w:t xml:space="preserve">expected to amend the constitution in order to allow for the democratic election of </w:t>
      </w:r>
      <w:r w:rsidR="009818D2">
        <w:rPr>
          <w:sz w:val="24"/>
          <w:szCs w:val="24"/>
        </w:rPr>
        <w:t>r</w:t>
      </w:r>
      <w:r w:rsidR="003042B2">
        <w:rPr>
          <w:sz w:val="24"/>
          <w:szCs w:val="24"/>
        </w:rPr>
        <w:t xml:space="preserve">ayon and oblast </w:t>
      </w:r>
      <w:r w:rsidR="00870FBA">
        <w:rPr>
          <w:sz w:val="24"/>
          <w:szCs w:val="24"/>
        </w:rPr>
        <w:t>executive</w:t>
      </w:r>
      <w:r w:rsidR="003042B2">
        <w:rPr>
          <w:sz w:val="24"/>
          <w:szCs w:val="24"/>
        </w:rPr>
        <w:t>s</w:t>
      </w:r>
      <w:r w:rsidR="002E30FB">
        <w:rPr>
          <w:sz w:val="24"/>
          <w:szCs w:val="24"/>
        </w:rPr>
        <w:t xml:space="preserve"> and to end their dual solution. </w:t>
      </w:r>
      <w:r w:rsidR="00822466">
        <w:rPr>
          <w:sz w:val="24"/>
          <w:szCs w:val="24"/>
        </w:rPr>
        <w:t>Finally, they want</w:t>
      </w:r>
      <w:r w:rsidR="002E30FB">
        <w:rPr>
          <w:sz w:val="24"/>
          <w:szCs w:val="24"/>
        </w:rPr>
        <w:t>ed</w:t>
      </w:r>
      <w:r w:rsidR="00822466">
        <w:rPr>
          <w:sz w:val="24"/>
          <w:szCs w:val="24"/>
        </w:rPr>
        <w:t xml:space="preserve"> to </w:t>
      </w:r>
      <w:r>
        <w:rPr>
          <w:sz w:val="24"/>
          <w:szCs w:val="24"/>
        </w:rPr>
        <w:t>reform</w:t>
      </w:r>
      <w:r w:rsidR="00822466">
        <w:rPr>
          <w:sz w:val="24"/>
          <w:szCs w:val="24"/>
        </w:rPr>
        <w:t xml:space="preserve"> </w:t>
      </w:r>
      <w:r>
        <w:rPr>
          <w:sz w:val="24"/>
          <w:szCs w:val="24"/>
        </w:rPr>
        <w:t>the i</w:t>
      </w:r>
      <w:r w:rsidR="00822466">
        <w:rPr>
          <w:sz w:val="24"/>
          <w:szCs w:val="24"/>
        </w:rPr>
        <w:t>ntergovernmental finance system by reducing subnational PIT shares, while also introducing new block grants for health, education, and social welfare to make up for the lost revenue.</w:t>
      </w:r>
      <w:r w:rsidR="002E30FB">
        <w:rPr>
          <w:sz w:val="24"/>
          <w:szCs w:val="24"/>
        </w:rPr>
        <w:t xml:space="preserve"> Here, the hope was that the earmarking of social sector funding would eliminate the need for centrally imposed expenditure standards, while also clarifying how much money local governments were receiving to support shared responsibilities. Within each sector, local governments would be free to spend the </w:t>
      </w:r>
      <w:r>
        <w:rPr>
          <w:sz w:val="24"/>
          <w:szCs w:val="24"/>
        </w:rPr>
        <w:t xml:space="preserve">block grants </w:t>
      </w:r>
      <w:r w:rsidR="002E30FB">
        <w:rPr>
          <w:sz w:val="24"/>
          <w:szCs w:val="24"/>
        </w:rPr>
        <w:t xml:space="preserve">as they saw. They would also be free </w:t>
      </w:r>
      <w:r w:rsidR="00067BA3">
        <w:rPr>
          <w:sz w:val="24"/>
          <w:szCs w:val="24"/>
        </w:rPr>
        <w:t xml:space="preserve">to contribute additional money from their general revenues if they so desired. </w:t>
      </w:r>
    </w:p>
    <w:p w:rsidR="00870FBA" w:rsidRDefault="00067BA3" w:rsidP="00870FBA">
      <w:pPr>
        <w:jc w:val="both"/>
        <w:rPr>
          <w:sz w:val="24"/>
          <w:szCs w:val="24"/>
        </w:rPr>
      </w:pPr>
      <w:r>
        <w:rPr>
          <w:sz w:val="24"/>
          <w:szCs w:val="24"/>
        </w:rPr>
        <w:t xml:space="preserve">Ultimately, however, the </w:t>
      </w:r>
      <w:proofErr w:type="spellStart"/>
      <w:r>
        <w:rPr>
          <w:sz w:val="24"/>
          <w:szCs w:val="24"/>
        </w:rPr>
        <w:t>Yushenko</w:t>
      </w:r>
      <w:proofErr w:type="spellEnd"/>
      <w:r>
        <w:rPr>
          <w:sz w:val="24"/>
          <w:szCs w:val="24"/>
        </w:rPr>
        <w:t xml:space="preserve"> government proved too</w:t>
      </w:r>
      <w:r w:rsidR="002E30FB">
        <w:rPr>
          <w:sz w:val="24"/>
          <w:szCs w:val="24"/>
        </w:rPr>
        <w:t xml:space="preserve"> weak to implement these plans: On the one hand, i</w:t>
      </w:r>
      <w:r w:rsidR="007E4F41">
        <w:rPr>
          <w:sz w:val="24"/>
          <w:szCs w:val="24"/>
        </w:rPr>
        <w:t>t lacked the parliamentary super-majority necessary to pass the constitutional amendments that would make possible both the democratic election of rayon and oblast executives, and the designation of COS and AG as the fundamental units of Ukrainian local government</w:t>
      </w:r>
      <w:r w:rsidR="007E4F41">
        <w:rPr>
          <w:rStyle w:val="FootnoteReference"/>
          <w:sz w:val="24"/>
          <w:szCs w:val="24"/>
        </w:rPr>
        <w:footnoteReference w:id="8"/>
      </w:r>
      <w:r w:rsidR="007E4F41">
        <w:rPr>
          <w:sz w:val="24"/>
          <w:szCs w:val="24"/>
        </w:rPr>
        <w:t xml:space="preserve">. </w:t>
      </w:r>
      <w:r w:rsidR="002E30FB">
        <w:rPr>
          <w:sz w:val="24"/>
          <w:szCs w:val="24"/>
        </w:rPr>
        <w:t xml:space="preserve">On the other hand, </w:t>
      </w:r>
      <w:r w:rsidR="007E4F41">
        <w:rPr>
          <w:sz w:val="24"/>
          <w:szCs w:val="24"/>
        </w:rPr>
        <w:t>the government was</w:t>
      </w:r>
      <w:r w:rsidR="00870FBA">
        <w:rPr>
          <w:sz w:val="24"/>
          <w:szCs w:val="24"/>
        </w:rPr>
        <w:t xml:space="preserve"> afraid </w:t>
      </w:r>
      <w:r w:rsidR="007E4F41">
        <w:rPr>
          <w:sz w:val="24"/>
          <w:szCs w:val="24"/>
        </w:rPr>
        <w:t>of</w:t>
      </w:r>
      <w:r w:rsidR="00870FBA">
        <w:rPr>
          <w:sz w:val="24"/>
          <w:szCs w:val="24"/>
        </w:rPr>
        <w:t xml:space="preserve"> the grassroots opposition that </w:t>
      </w:r>
      <w:r w:rsidR="0013195C">
        <w:rPr>
          <w:sz w:val="24"/>
          <w:szCs w:val="24"/>
        </w:rPr>
        <w:t>jurisdictional</w:t>
      </w:r>
      <w:r w:rsidR="002E30FB">
        <w:rPr>
          <w:sz w:val="24"/>
          <w:szCs w:val="24"/>
        </w:rPr>
        <w:t xml:space="preserve"> </w:t>
      </w:r>
      <w:r w:rsidR="007E4F41">
        <w:rPr>
          <w:sz w:val="24"/>
          <w:szCs w:val="24"/>
        </w:rPr>
        <w:t xml:space="preserve">consolidation </w:t>
      </w:r>
      <w:r w:rsidR="002E30FB">
        <w:rPr>
          <w:sz w:val="24"/>
          <w:szCs w:val="24"/>
        </w:rPr>
        <w:t xml:space="preserve">inevitably </w:t>
      </w:r>
      <w:r w:rsidR="007E4F41">
        <w:rPr>
          <w:sz w:val="24"/>
          <w:szCs w:val="24"/>
        </w:rPr>
        <w:t>provokes --</w:t>
      </w:r>
      <w:r w:rsidR="00870FBA">
        <w:rPr>
          <w:sz w:val="24"/>
          <w:szCs w:val="24"/>
        </w:rPr>
        <w:t>opposition that</w:t>
      </w:r>
      <w:r w:rsidR="002E30FB">
        <w:rPr>
          <w:sz w:val="24"/>
          <w:szCs w:val="24"/>
        </w:rPr>
        <w:t xml:space="preserve"> the more populist</w:t>
      </w:r>
      <w:r w:rsidR="00870FBA">
        <w:rPr>
          <w:sz w:val="24"/>
          <w:szCs w:val="24"/>
        </w:rPr>
        <w:t xml:space="preserve"> </w:t>
      </w:r>
      <w:r w:rsidR="007E4F41">
        <w:rPr>
          <w:sz w:val="24"/>
          <w:szCs w:val="24"/>
        </w:rPr>
        <w:t xml:space="preserve">forces around </w:t>
      </w:r>
      <w:r w:rsidR="00870FBA">
        <w:rPr>
          <w:sz w:val="24"/>
          <w:szCs w:val="24"/>
        </w:rPr>
        <w:t xml:space="preserve">both </w:t>
      </w:r>
      <w:proofErr w:type="spellStart"/>
      <w:r w:rsidR="00870FBA">
        <w:rPr>
          <w:sz w:val="24"/>
          <w:szCs w:val="24"/>
        </w:rPr>
        <w:t>Yulia</w:t>
      </w:r>
      <w:proofErr w:type="spellEnd"/>
      <w:r w:rsidR="00870FBA">
        <w:rPr>
          <w:sz w:val="24"/>
          <w:szCs w:val="24"/>
        </w:rPr>
        <w:t xml:space="preserve"> </w:t>
      </w:r>
      <w:proofErr w:type="spellStart"/>
      <w:r w:rsidR="00870FBA">
        <w:rPr>
          <w:sz w:val="24"/>
          <w:szCs w:val="24"/>
        </w:rPr>
        <w:t>Tymoshen</w:t>
      </w:r>
      <w:r w:rsidR="004E3AE1">
        <w:rPr>
          <w:sz w:val="24"/>
          <w:szCs w:val="24"/>
        </w:rPr>
        <w:t>ko</w:t>
      </w:r>
      <w:proofErr w:type="spellEnd"/>
      <w:r w:rsidR="004E3AE1">
        <w:rPr>
          <w:sz w:val="24"/>
          <w:szCs w:val="24"/>
        </w:rPr>
        <w:t xml:space="preserve"> and the Party of Region</w:t>
      </w:r>
      <w:r w:rsidR="007E4F41">
        <w:rPr>
          <w:sz w:val="24"/>
          <w:szCs w:val="24"/>
        </w:rPr>
        <w:t>s were</w:t>
      </w:r>
      <w:r w:rsidR="00870FBA">
        <w:rPr>
          <w:sz w:val="24"/>
          <w:szCs w:val="24"/>
        </w:rPr>
        <w:t xml:space="preserve"> (and</w:t>
      </w:r>
      <w:r w:rsidR="007E4F41">
        <w:rPr>
          <w:sz w:val="24"/>
          <w:szCs w:val="24"/>
        </w:rPr>
        <w:t xml:space="preserve"> remain) happy to exploit.</w:t>
      </w:r>
      <w:r w:rsidR="00870FBA">
        <w:rPr>
          <w:sz w:val="24"/>
          <w:szCs w:val="24"/>
        </w:rPr>
        <w:t xml:space="preserve"> </w:t>
      </w:r>
    </w:p>
    <w:p w:rsidR="0013195C" w:rsidRDefault="0013195C" w:rsidP="00870FBA">
      <w:pPr>
        <w:jc w:val="both"/>
        <w:rPr>
          <w:sz w:val="24"/>
          <w:szCs w:val="24"/>
        </w:rPr>
      </w:pPr>
      <w:r>
        <w:rPr>
          <w:sz w:val="24"/>
          <w:szCs w:val="24"/>
        </w:rPr>
        <w:t>Ukraine’s inability to clearly parse public sector responsibilities between levels of government has ensured that no level of government really considers i</w:t>
      </w:r>
      <w:r w:rsidR="00C91115">
        <w:rPr>
          <w:sz w:val="24"/>
          <w:szCs w:val="24"/>
        </w:rPr>
        <w:t xml:space="preserve">tself responsible </w:t>
      </w:r>
      <w:r w:rsidR="004E3AE1">
        <w:rPr>
          <w:sz w:val="24"/>
          <w:szCs w:val="24"/>
        </w:rPr>
        <w:t xml:space="preserve">for </w:t>
      </w:r>
      <w:r>
        <w:rPr>
          <w:sz w:val="24"/>
          <w:szCs w:val="24"/>
        </w:rPr>
        <w:t xml:space="preserve">delivering quality public services. </w:t>
      </w:r>
      <w:r w:rsidR="004E3AE1">
        <w:rPr>
          <w:sz w:val="24"/>
          <w:szCs w:val="24"/>
        </w:rPr>
        <w:t>This lack of accountability has depressed performance and facilitated corruption</w:t>
      </w:r>
      <w:r w:rsidR="00316EDD">
        <w:rPr>
          <w:sz w:val="24"/>
          <w:szCs w:val="24"/>
        </w:rPr>
        <w:t xml:space="preserve">. But most importantly, the ambiguous nature political responsibility for social sector functions has made it impossible for Ukraine to </w:t>
      </w:r>
      <w:r w:rsidR="004E3AE1">
        <w:rPr>
          <w:sz w:val="24"/>
          <w:szCs w:val="24"/>
        </w:rPr>
        <w:t>restructur</w:t>
      </w:r>
      <w:r w:rsidR="00316EDD">
        <w:rPr>
          <w:sz w:val="24"/>
          <w:szCs w:val="24"/>
        </w:rPr>
        <w:t>e its health an</w:t>
      </w:r>
      <w:r w:rsidR="004E3AE1">
        <w:rPr>
          <w:sz w:val="24"/>
          <w:szCs w:val="24"/>
        </w:rPr>
        <w:t>d education systems during a period of profound demographic</w:t>
      </w:r>
      <w:r w:rsidR="00316EDD" w:rsidRPr="00D75ED2">
        <w:rPr>
          <w:rStyle w:val="FootnoteReference"/>
          <w:sz w:val="24"/>
          <w:szCs w:val="24"/>
        </w:rPr>
        <w:footnoteReference w:id="9"/>
      </w:r>
      <w:r w:rsidR="00316EDD">
        <w:rPr>
          <w:sz w:val="24"/>
          <w:szCs w:val="24"/>
        </w:rPr>
        <w:t xml:space="preserve">. In short, nobody has wanted to be held responsible for the extremely painful task of </w:t>
      </w:r>
      <w:r w:rsidR="004E3AE1">
        <w:rPr>
          <w:sz w:val="24"/>
          <w:szCs w:val="24"/>
        </w:rPr>
        <w:t xml:space="preserve">bringing hospital and school networks in line with the populations they serve. </w:t>
      </w:r>
      <w:r w:rsidRPr="00D75ED2">
        <w:rPr>
          <w:sz w:val="24"/>
          <w:szCs w:val="24"/>
        </w:rPr>
        <w:t>As</w:t>
      </w:r>
      <w:r w:rsidR="00C91115">
        <w:rPr>
          <w:sz w:val="24"/>
          <w:szCs w:val="24"/>
        </w:rPr>
        <w:t xml:space="preserve"> a</w:t>
      </w:r>
      <w:r w:rsidRPr="00D75ED2">
        <w:rPr>
          <w:sz w:val="24"/>
          <w:szCs w:val="24"/>
        </w:rPr>
        <w:t xml:space="preserve"> result, Ukraine </w:t>
      </w:r>
      <w:r w:rsidR="00316EDD">
        <w:rPr>
          <w:sz w:val="24"/>
          <w:szCs w:val="24"/>
        </w:rPr>
        <w:t xml:space="preserve">now </w:t>
      </w:r>
      <w:r w:rsidRPr="00D75ED2">
        <w:rPr>
          <w:sz w:val="24"/>
          <w:szCs w:val="24"/>
        </w:rPr>
        <w:t>has significantly more doctors, nurses and hospital b</w:t>
      </w:r>
      <w:r w:rsidRPr="001E1B66">
        <w:rPr>
          <w:sz w:val="24"/>
          <w:szCs w:val="24"/>
        </w:rPr>
        <w:t xml:space="preserve">eds per 100,000 </w:t>
      </w:r>
      <w:r>
        <w:rPr>
          <w:sz w:val="24"/>
          <w:szCs w:val="24"/>
        </w:rPr>
        <w:t xml:space="preserve">inhabitants </w:t>
      </w:r>
      <w:r w:rsidRPr="001E1B66">
        <w:rPr>
          <w:sz w:val="24"/>
          <w:szCs w:val="24"/>
        </w:rPr>
        <w:t>than</w:t>
      </w:r>
      <w:r w:rsidR="00316EDD">
        <w:rPr>
          <w:sz w:val="24"/>
          <w:szCs w:val="24"/>
        </w:rPr>
        <w:t xml:space="preserve"> almost all </w:t>
      </w:r>
      <w:r w:rsidRPr="001E1B66">
        <w:rPr>
          <w:sz w:val="24"/>
          <w:szCs w:val="24"/>
        </w:rPr>
        <w:t>EU countries</w:t>
      </w:r>
      <w:r w:rsidR="004E3AE1">
        <w:rPr>
          <w:sz w:val="24"/>
          <w:szCs w:val="24"/>
        </w:rPr>
        <w:t xml:space="preserve">. It also has </w:t>
      </w:r>
      <w:r w:rsidRPr="001E1B66">
        <w:rPr>
          <w:sz w:val="24"/>
          <w:szCs w:val="24"/>
        </w:rPr>
        <w:t>one of the lowest pupil/teacher ratios in the world.</w:t>
      </w:r>
      <w:r w:rsidRPr="001E1B66">
        <w:rPr>
          <w:rStyle w:val="FootnoteReference"/>
          <w:sz w:val="24"/>
          <w:szCs w:val="24"/>
        </w:rPr>
        <w:footnoteReference w:id="10"/>
      </w:r>
      <w:r>
        <w:rPr>
          <w:sz w:val="24"/>
          <w:szCs w:val="24"/>
        </w:rPr>
        <w:t xml:space="preserve"> </w:t>
      </w:r>
      <w:r w:rsidR="00316EDD">
        <w:rPr>
          <w:sz w:val="24"/>
          <w:szCs w:val="24"/>
        </w:rPr>
        <w:t xml:space="preserve">Indeed, at this point it is fair to say </w:t>
      </w:r>
      <w:r w:rsidR="00773FC6">
        <w:rPr>
          <w:sz w:val="24"/>
          <w:szCs w:val="24"/>
        </w:rPr>
        <w:t xml:space="preserve">that the terrifying political and social challenges of </w:t>
      </w:r>
      <w:r w:rsidR="00773FC6">
        <w:rPr>
          <w:sz w:val="24"/>
          <w:szCs w:val="24"/>
        </w:rPr>
        <w:lastRenderedPageBreak/>
        <w:t xml:space="preserve">restructuring these sectors now pose the greatest threat to Ukraine’s current efforts to decentralize. </w:t>
      </w:r>
    </w:p>
    <w:p w:rsidR="00961084" w:rsidRDefault="00773FC6" w:rsidP="00870FBA">
      <w:pPr>
        <w:jc w:val="both"/>
        <w:rPr>
          <w:sz w:val="24"/>
          <w:szCs w:val="24"/>
        </w:rPr>
      </w:pPr>
      <w:r>
        <w:rPr>
          <w:sz w:val="24"/>
          <w:szCs w:val="24"/>
        </w:rPr>
        <w:t xml:space="preserve">Nonetheless, and as we have seen, </w:t>
      </w:r>
      <w:proofErr w:type="spellStart"/>
      <w:r>
        <w:rPr>
          <w:sz w:val="24"/>
          <w:szCs w:val="24"/>
        </w:rPr>
        <w:t>EuroMaidan</w:t>
      </w:r>
      <w:proofErr w:type="spellEnd"/>
      <w:r>
        <w:rPr>
          <w:sz w:val="24"/>
          <w:szCs w:val="24"/>
        </w:rPr>
        <w:t xml:space="preserve"> and Russia’</w:t>
      </w:r>
      <w:r w:rsidR="006B60D3">
        <w:rPr>
          <w:sz w:val="24"/>
          <w:szCs w:val="24"/>
        </w:rPr>
        <w:t xml:space="preserve">s backing </w:t>
      </w:r>
      <w:r w:rsidR="00961084">
        <w:rPr>
          <w:sz w:val="24"/>
          <w:szCs w:val="24"/>
        </w:rPr>
        <w:t>of</w:t>
      </w:r>
      <w:r w:rsidR="00CD0323">
        <w:rPr>
          <w:sz w:val="24"/>
          <w:szCs w:val="24"/>
        </w:rPr>
        <w:t xml:space="preserve"> armed separatism in the Donbas </w:t>
      </w:r>
      <w:r>
        <w:rPr>
          <w:sz w:val="24"/>
          <w:szCs w:val="24"/>
        </w:rPr>
        <w:t>put “decentralization” back on</w:t>
      </w:r>
      <w:r w:rsidR="00CD0323">
        <w:rPr>
          <w:sz w:val="24"/>
          <w:szCs w:val="24"/>
        </w:rPr>
        <w:t xml:space="preserve"> the top of</w:t>
      </w:r>
      <w:r>
        <w:rPr>
          <w:sz w:val="24"/>
          <w:szCs w:val="24"/>
        </w:rPr>
        <w:t xml:space="preserve"> Ukraine’s political agenda</w:t>
      </w:r>
      <w:r w:rsidR="00CD0323">
        <w:rPr>
          <w:sz w:val="24"/>
          <w:szCs w:val="24"/>
        </w:rPr>
        <w:t xml:space="preserve"> in the spring of 2014</w:t>
      </w:r>
      <w:r>
        <w:rPr>
          <w:sz w:val="24"/>
          <w:szCs w:val="24"/>
        </w:rPr>
        <w:t xml:space="preserve">. And while President Petro </w:t>
      </w:r>
      <w:proofErr w:type="spellStart"/>
      <w:r>
        <w:rPr>
          <w:sz w:val="24"/>
          <w:szCs w:val="24"/>
        </w:rPr>
        <w:t>Porshenko’s</w:t>
      </w:r>
      <w:proofErr w:type="spellEnd"/>
      <w:r>
        <w:rPr>
          <w:sz w:val="24"/>
          <w:szCs w:val="24"/>
        </w:rPr>
        <w:t xml:space="preserve"> turn to decentralizati</w:t>
      </w:r>
      <w:r w:rsidR="00CD0323">
        <w:rPr>
          <w:sz w:val="24"/>
          <w:szCs w:val="24"/>
        </w:rPr>
        <w:t xml:space="preserve">on was clearly designed to </w:t>
      </w:r>
      <w:r w:rsidR="006B60D3">
        <w:rPr>
          <w:sz w:val="24"/>
          <w:szCs w:val="24"/>
        </w:rPr>
        <w:t>cool demands for</w:t>
      </w:r>
      <w:r w:rsidR="00CD0323">
        <w:rPr>
          <w:sz w:val="24"/>
          <w:szCs w:val="24"/>
        </w:rPr>
        <w:t xml:space="preserve"> the federalization of the country, it has proved to be much </w:t>
      </w:r>
      <w:r w:rsidR="00961084">
        <w:rPr>
          <w:sz w:val="24"/>
          <w:szCs w:val="24"/>
        </w:rPr>
        <w:t>more than just a tactical maneuver</w:t>
      </w:r>
      <w:r w:rsidR="00CD0323">
        <w:rPr>
          <w:sz w:val="24"/>
          <w:szCs w:val="24"/>
        </w:rPr>
        <w:t xml:space="preserve"> –even if the effort has thus far failed to overcome some of the same problems</w:t>
      </w:r>
      <w:r w:rsidR="006B60D3">
        <w:rPr>
          <w:sz w:val="24"/>
          <w:szCs w:val="24"/>
        </w:rPr>
        <w:t xml:space="preserve"> that have undermined local government reform</w:t>
      </w:r>
      <w:r w:rsidR="00CD0323">
        <w:rPr>
          <w:sz w:val="24"/>
          <w:szCs w:val="24"/>
        </w:rPr>
        <w:t xml:space="preserve"> in the past.</w:t>
      </w:r>
    </w:p>
    <w:p w:rsidR="00870FBA" w:rsidRDefault="0099192A" w:rsidP="00870FBA">
      <w:pPr>
        <w:jc w:val="both"/>
        <w:rPr>
          <w:sz w:val="24"/>
          <w:szCs w:val="24"/>
        </w:rPr>
      </w:pPr>
      <w:r>
        <w:rPr>
          <w:sz w:val="24"/>
          <w:szCs w:val="24"/>
        </w:rPr>
        <w:t xml:space="preserve">To lead the decentralization effort, </w:t>
      </w:r>
      <w:r w:rsidR="00870FBA">
        <w:rPr>
          <w:sz w:val="24"/>
          <w:szCs w:val="24"/>
        </w:rPr>
        <w:t xml:space="preserve">Poroshenko appointed the </w:t>
      </w:r>
      <w:r w:rsidR="00870FBA" w:rsidRPr="00961084">
        <w:rPr>
          <w:sz w:val="24"/>
          <w:szCs w:val="24"/>
          <w:shd w:val="clear" w:color="auto" w:fill="FFFFFF" w:themeFill="background1"/>
        </w:rPr>
        <w:t>young</w:t>
      </w:r>
      <w:r>
        <w:rPr>
          <w:sz w:val="24"/>
          <w:szCs w:val="24"/>
          <w:shd w:val="clear" w:color="auto" w:fill="FFFFFF" w:themeFill="background1"/>
        </w:rPr>
        <w:t xml:space="preserve"> reformist mayor of his home town of Vinnytsia –Volodymyr Groysman-- D</w:t>
      </w:r>
      <w:r w:rsidR="00870FBA" w:rsidRPr="00961084">
        <w:rPr>
          <w:sz w:val="24"/>
          <w:szCs w:val="24"/>
          <w:shd w:val="clear" w:color="auto" w:fill="FFFFFF" w:themeFill="background1"/>
        </w:rPr>
        <w:t xml:space="preserve">eputy Prime Minister and Minister for Regional Development. Groysman </w:t>
      </w:r>
      <w:r>
        <w:rPr>
          <w:sz w:val="24"/>
          <w:szCs w:val="24"/>
          <w:shd w:val="clear" w:color="auto" w:fill="FFFFFF" w:themeFill="background1"/>
        </w:rPr>
        <w:t xml:space="preserve">then </w:t>
      </w:r>
      <w:r w:rsidR="00DA42DD" w:rsidRPr="00961084">
        <w:rPr>
          <w:sz w:val="24"/>
          <w:szCs w:val="24"/>
          <w:shd w:val="clear" w:color="auto" w:fill="FFFFFF" w:themeFill="background1"/>
        </w:rPr>
        <w:t>re</w:t>
      </w:r>
      <w:r w:rsidR="00870FBA" w:rsidRPr="00961084">
        <w:rPr>
          <w:sz w:val="24"/>
          <w:szCs w:val="24"/>
          <w:shd w:val="clear" w:color="auto" w:fill="FFFFFF" w:themeFill="background1"/>
        </w:rPr>
        <w:t>assembled many of th</w:t>
      </w:r>
      <w:r w:rsidR="00870FBA">
        <w:rPr>
          <w:sz w:val="24"/>
          <w:szCs w:val="24"/>
        </w:rPr>
        <w:t>e architects</w:t>
      </w:r>
      <w:r>
        <w:rPr>
          <w:sz w:val="24"/>
          <w:szCs w:val="24"/>
        </w:rPr>
        <w:t xml:space="preserve"> of the</w:t>
      </w:r>
      <w:r w:rsidR="006B60D3">
        <w:rPr>
          <w:sz w:val="24"/>
          <w:szCs w:val="24"/>
        </w:rPr>
        <w:t xml:space="preserve"> decentralization strategy that emerged after the Orange Revolution and which then had been a</w:t>
      </w:r>
      <w:r>
        <w:rPr>
          <w:sz w:val="24"/>
          <w:szCs w:val="24"/>
        </w:rPr>
        <w:t>bandoned</w:t>
      </w:r>
      <w:r w:rsidR="006B60D3">
        <w:rPr>
          <w:sz w:val="24"/>
          <w:szCs w:val="24"/>
        </w:rPr>
        <w:t>.</w:t>
      </w:r>
      <w:r>
        <w:rPr>
          <w:sz w:val="24"/>
          <w:szCs w:val="24"/>
        </w:rPr>
        <w:t xml:space="preserve"> They quickly drafted</w:t>
      </w:r>
      <w:r w:rsidR="00870FBA" w:rsidRPr="00423ECE">
        <w:rPr>
          <w:sz w:val="24"/>
          <w:szCs w:val="24"/>
        </w:rPr>
        <w:t xml:space="preserve"> constitutional amendments</w:t>
      </w:r>
      <w:r>
        <w:rPr>
          <w:sz w:val="24"/>
          <w:szCs w:val="24"/>
        </w:rPr>
        <w:t xml:space="preserve"> to</w:t>
      </w:r>
      <w:r w:rsidR="00870FBA" w:rsidRPr="00423ECE">
        <w:rPr>
          <w:sz w:val="24"/>
          <w:szCs w:val="24"/>
        </w:rPr>
        <w:t xml:space="preserve"> permit the democratic election of oblast </w:t>
      </w:r>
      <w:r>
        <w:rPr>
          <w:sz w:val="24"/>
          <w:szCs w:val="24"/>
        </w:rPr>
        <w:t xml:space="preserve">and rayon </w:t>
      </w:r>
      <w:r w:rsidR="00870FBA" w:rsidRPr="00423ECE">
        <w:rPr>
          <w:sz w:val="24"/>
          <w:szCs w:val="24"/>
        </w:rPr>
        <w:t xml:space="preserve">executives and </w:t>
      </w:r>
      <w:r>
        <w:rPr>
          <w:sz w:val="24"/>
          <w:szCs w:val="24"/>
        </w:rPr>
        <w:t xml:space="preserve">to </w:t>
      </w:r>
      <w:r w:rsidR="00870FBA" w:rsidRPr="00423ECE">
        <w:rPr>
          <w:sz w:val="24"/>
          <w:szCs w:val="24"/>
        </w:rPr>
        <w:t>creat</w:t>
      </w:r>
      <w:r>
        <w:rPr>
          <w:sz w:val="24"/>
          <w:szCs w:val="24"/>
        </w:rPr>
        <w:t>e</w:t>
      </w:r>
      <w:r w:rsidR="00870FBA" w:rsidRPr="00423ECE">
        <w:rPr>
          <w:sz w:val="24"/>
          <w:szCs w:val="24"/>
        </w:rPr>
        <w:t xml:space="preserve"> new state oversigh</w:t>
      </w:r>
      <w:r w:rsidR="00870FBA">
        <w:rPr>
          <w:sz w:val="24"/>
          <w:szCs w:val="24"/>
        </w:rPr>
        <w:t xml:space="preserve">t bodies at the regional level. They also drafted </w:t>
      </w:r>
      <w:r w:rsidR="00870FBA" w:rsidRPr="00423ECE">
        <w:rPr>
          <w:sz w:val="24"/>
          <w:szCs w:val="24"/>
        </w:rPr>
        <w:t xml:space="preserve">legislation </w:t>
      </w:r>
      <w:r w:rsidR="00870FBA">
        <w:rPr>
          <w:sz w:val="24"/>
          <w:szCs w:val="24"/>
        </w:rPr>
        <w:t xml:space="preserve">mandating the nationwide </w:t>
      </w:r>
      <w:r w:rsidR="00870FBA" w:rsidRPr="00423ECE">
        <w:rPr>
          <w:sz w:val="24"/>
          <w:szCs w:val="24"/>
        </w:rPr>
        <w:t xml:space="preserve">consolidation of gromada. </w:t>
      </w:r>
      <w:r w:rsidR="006B60D3">
        <w:rPr>
          <w:sz w:val="24"/>
          <w:szCs w:val="24"/>
        </w:rPr>
        <w:t>At the same time,</w:t>
      </w:r>
      <w:r w:rsidR="00870FBA" w:rsidRPr="00423ECE">
        <w:rPr>
          <w:sz w:val="24"/>
          <w:szCs w:val="24"/>
        </w:rPr>
        <w:t xml:space="preserve"> the Ministry of Finance prepared amendments to th</w:t>
      </w:r>
      <w:r>
        <w:rPr>
          <w:sz w:val="24"/>
          <w:szCs w:val="24"/>
        </w:rPr>
        <w:t>e tax and budget codes</w:t>
      </w:r>
      <w:r w:rsidR="00F37C35">
        <w:rPr>
          <w:sz w:val="24"/>
          <w:szCs w:val="24"/>
        </w:rPr>
        <w:t xml:space="preserve"> designed to</w:t>
      </w:r>
      <w:r>
        <w:rPr>
          <w:sz w:val="24"/>
          <w:szCs w:val="24"/>
        </w:rPr>
        <w:t xml:space="preserve"> diversify</w:t>
      </w:r>
      <w:r w:rsidR="00F37C35">
        <w:rPr>
          <w:sz w:val="24"/>
          <w:szCs w:val="24"/>
        </w:rPr>
        <w:t xml:space="preserve"> local government</w:t>
      </w:r>
      <w:r w:rsidR="00870FBA" w:rsidRPr="00423ECE">
        <w:rPr>
          <w:sz w:val="24"/>
          <w:szCs w:val="24"/>
        </w:rPr>
        <w:t xml:space="preserve"> revenue</w:t>
      </w:r>
      <w:r>
        <w:rPr>
          <w:sz w:val="24"/>
          <w:szCs w:val="24"/>
        </w:rPr>
        <w:t xml:space="preserve"> and </w:t>
      </w:r>
      <w:r w:rsidR="00F37C35">
        <w:rPr>
          <w:sz w:val="24"/>
          <w:szCs w:val="24"/>
        </w:rPr>
        <w:t xml:space="preserve">to </w:t>
      </w:r>
      <w:r>
        <w:rPr>
          <w:sz w:val="24"/>
          <w:szCs w:val="24"/>
        </w:rPr>
        <w:t>replacing</w:t>
      </w:r>
      <w:r w:rsidR="00870FBA" w:rsidRPr="00423ECE">
        <w:rPr>
          <w:sz w:val="24"/>
          <w:szCs w:val="24"/>
        </w:rPr>
        <w:t xml:space="preserve"> the gap-filling transfer system with a one </w:t>
      </w:r>
      <w:r w:rsidR="00F37C35">
        <w:rPr>
          <w:sz w:val="24"/>
          <w:szCs w:val="24"/>
        </w:rPr>
        <w:t xml:space="preserve">based on social sector </w:t>
      </w:r>
      <w:r w:rsidR="00870FBA" w:rsidRPr="00423ECE">
        <w:rPr>
          <w:sz w:val="24"/>
          <w:szCs w:val="24"/>
        </w:rPr>
        <w:t>block grants</w:t>
      </w:r>
      <w:r w:rsidR="00F37C35">
        <w:rPr>
          <w:sz w:val="24"/>
          <w:szCs w:val="24"/>
        </w:rPr>
        <w:t>.</w:t>
      </w:r>
      <w:r>
        <w:rPr>
          <w:sz w:val="24"/>
          <w:szCs w:val="24"/>
        </w:rPr>
        <w:t xml:space="preserve"> </w:t>
      </w:r>
    </w:p>
    <w:p w:rsidR="00870FBA" w:rsidRDefault="00F37C35" w:rsidP="00870FBA">
      <w:pPr>
        <w:jc w:val="both"/>
        <w:rPr>
          <w:sz w:val="24"/>
          <w:szCs w:val="24"/>
        </w:rPr>
      </w:pPr>
      <w:r>
        <w:rPr>
          <w:sz w:val="24"/>
          <w:szCs w:val="24"/>
        </w:rPr>
        <w:t>But because p</w:t>
      </w:r>
      <w:r w:rsidR="0099192A">
        <w:rPr>
          <w:sz w:val="24"/>
          <w:szCs w:val="24"/>
        </w:rPr>
        <w:t>a</w:t>
      </w:r>
      <w:r>
        <w:rPr>
          <w:sz w:val="24"/>
          <w:szCs w:val="24"/>
        </w:rPr>
        <w:t>rliament was still dominated by members elected before</w:t>
      </w:r>
      <w:r w:rsidR="006B60D3">
        <w:rPr>
          <w:sz w:val="24"/>
          <w:szCs w:val="24"/>
        </w:rPr>
        <w:t xml:space="preserve"> the</w:t>
      </w:r>
      <w:r w:rsidR="0099192A">
        <w:rPr>
          <w:sz w:val="24"/>
          <w:szCs w:val="24"/>
        </w:rPr>
        <w:t xml:space="preserve"> </w:t>
      </w:r>
      <w:proofErr w:type="spellStart"/>
      <w:r w:rsidR="0099192A">
        <w:rPr>
          <w:sz w:val="24"/>
          <w:szCs w:val="24"/>
        </w:rPr>
        <w:t>Maidan</w:t>
      </w:r>
      <w:proofErr w:type="spellEnd"/>
      <w:r>
        <w:rPr>
          <w:sz w:val="24"/>
          <w:szCs w:val="24"/>
        </w:rPr>
        <w:t>, the government postponed submission of the draft legislation to parliament. Instead, it choose to wait until the fall in the hope that the scheduled parliam</w:t>
      </w:r>
      <w:r w:rsidR="006B60D3">
        <w:rPr>
          <w:sz w:val="24"/>
          <w:szCs w:val="24"/>
        </w:rPr>
        <w:t xml:space="preserve">entary elections would return a </w:t>
      </w:r>
      <w:r>
        <w:rPr>
          <w:sz w:val="24"/>
          <w:szCs w:val="24"/>
        </w:rPr>
        <w:t>legislature more in</w:t>
      </w:r>
      <w:r w:rsidR="006B60D3">
        <w:rPr>
          <w:sz w:val="24"/>
          <w:szCs w:val="24"/>
        </w:rPr>
        <w:t>clined to support radical change</w:t>
      </w:r>
      <w:r>
        <w:rPr>
          <w:sz w:val="24"/>
          <w:szCs w:val="24"/>
        </w:rPr>
        <w:t xml:space="preserve">. </w:t>
      </w:r>
      <w:r w:rsidR="007A752E">
        <w:rPr>
          <w:sz w:val="24"/>
          <w:szCs w:val="24"/>
        </w:rPr>
        <w:t xml:space="preserve">The October elections, </w:t>
      </w:r>
      <w:r w:rsidR="00870FBA">
        <w:rPr>
          <w:sz w:val="24"/>
          <w:szCs w:val="24"/>
        </w:rPr>
        <w:t xml:space="preserve">however, </w:t>
      </w:r>
      <w:r w:rsidR="00870FBA" w:rsidRPr="002A0B59">
        <w:rPr>
          <w:sz w:val="24"/>
          <w:szCs w:val="24"/>
        </w:rPr>
        <w:t>returned a</w:t>
      </w:r>
      <w:r w:rsidR="00870FBA">
        <w:rPr>
          <w:sz w:val="24"/>
          <w:szCs w:val="24"/>
        </w:rPr>
        <w:t xml:space="preserve">n almost equally </w:t>
      </w:r>
      <w:r w:rsidR="00870FBA" w:rsidRPr="002A0B59">
        <w:rPr>
          <w:sz w:val="24"/>
          <w:szCs w:val="24"/>
        </w:rPr>
        <w:t xml:space="preserve">divided </w:t>
      </w:r>
      <w:r w:rsidR="007A752E">
        <w:rPr>
          <w:sz w:val="24"/>
          <w:szCs w:val="24"/>
        </w:rPr>
        <w:t>parliament</w:t>
      </w:r>
      <w:r>
        <w:rPr>
          <w:sz w:val="24"/>
          <w:szCs w:val="24"/>
        </w:rPr>
        <w:t>. As a result,</w:t>
      </w:r>
      <w:r w:rsidR="007A752E">
        <w:rPr>
          <w:sz w:val="24"/>
          <w:szCs w:val="24"/>
        </w:rPr>
        <w:t xml:space="preserve"> the government had no chance of putting together</w:t>
      </w:r>
      <w:r>
        <w:rPr>
          <w:sz w:val="24"/>
          <w:szCs w:val="24"/>
        </w:rPr>
        <w:t xml:space="preserve"> the super majorities necessary for constitutional amendments</w:t>
      </w:r>
      <w:r w:rsidR="004C5765">
        <w:rPr>
          <w:rStyle w:val="FootnoteReference"/>
          <w:sz w:val="24"/>
          <w:szCs w:val="24"/>
        </w:rPr>
        <w:footnoteReference w:id="11"/>
      </w:r>
      <w:r>
        <w:rPr>
          <w:sz w:val="24"/>
          <w:szCs w:val="24"/>
        </w:rPr>
        <w:t xml:space="preserve">. </w:t>
      </w:r>
      <w:r w:rsidR="007A752E">
        <w:rPr>
          <w:sz w:val="24"/>
          <w:szCs w:val="24"/>
        </w:rPr>
        <w:t>Worse, it could not muster the</w:t>
      </w:r>
      <w:r>
        <w:rPr>
          <w:sz w:val="24"/>
          <w:szCs w:val="24"/>
        </w:rPr>
        <w:t xml:space="preserve"> </w:t>
      </w:r>
      <w:r w:rsidR="004C5765">
        <w:rPr>
          <w:sz w:val="24"/>
          <w:szCs w:val="24"/>
        </w:rPr>
        <w:t xml:space="preserve">simple majority </w:t>
      </w:r>
      <w:r w:rsidR="007A752E">
        <w:rPr>
          <w:sz w:val="24"/>
          <w:szCs w:val="24"/>
        </w:rPr>
        <w:t>ne</w:t>
      </w:r>
      <w:r w:rsidR="00406DE6">
        <w:rPr>
          <w:sz w:val="24"/>
          <w:szCs w:val="24"/>
        </w:rPr>
        <w:t xml:space="preserve">eded to mandate the </w:t>
      </w:r>
      <w:r w:rsidR="004C5765">
        <w:rPr>
          <w:sz w:val="24"/>
          <w:szCs w:val="24"/>
        </w:rPr>
        <w:t xml:space="preserve">consolidation of gromada </w:t>
      </w:r>
      <w:r w:rsidR="007A752E">
        <w:rPr>
          <w:sz w:val="24"/>
          <w:szCs w:val="24"/>
        </w:rPr>
        <w:t xml:space="preserve">because some of its own allies turned against the idea –most </w:t>
      </w:r>
      <w:r w:rsidR="005007FE">
        <w:rPr>
          <w:sz w:val="24"/>
          <w:szCs w:val="24"/>
        </w:rPr>
        <w:t>importantly</w:t>
      </w:r>
      <w:r w:rsidR="006B60D3">
        <w:rPr>
          <w:sz w:val="24"/>
          <w:szCs w:val="24"/>
        </w:rPr>
        <w:t>,</w:t>
      </w:r>
      <w:r w:rsidR="005007FE">
        <w:rPr>
          <w:sz w:val="24"/>
          <w:szCs w:val="24"/>
        </w:rPr>
        <w:t xml:space="preserve"> the Self-Reliance Party of</w:t>
      </w:r>
      <w:r w:rsidR="007A752E">
        <w:rPr>
          <w:sz w:val="24"/>
          <w:szCs w:val="24"/>
        </w:rPr>
        <w:t xml:space="preserve"> </w:t>
      </w:r>
      <w:proofErr w:type="spellStart"/>
      <w:r w:rsidR="007A752E">
        <w:rPr>
          <w:sz w:val="24"/>
          <w:szCs w:val="24"/>
        </w:rPr>
        <w:t>Andr</w:t>
      </w:r>
      <w:r w:rsidR="005007FE">
        <w:rPr>
          <w:sz w:val="24"/>
          <w:szCs w:val="24"/>
        </w:rPr>
        <w:t>ii</w:t>
      </w:r>
      <w:proofErr w:type="spellEnd"/>
      <w:r w:rsidR="005007FE">
        <w:rPr>
          <w:sz w:val="24"/>
          <w:szCs w:val="24"/>
        </w:rPr>
        <w:t xml:space="preserve"> </w:t>
      </w:r>
      <w:proofErr w:type="spellStart"/>
      <w:r w:rsidR="005007FE">
        <w:rPr>
          <w:sz w:val="24"/>
          <w:szCs w:val="24"/>
        </w:rPr>
        <w:t>Sadovii</w:t>
      </w:r>
      <w:proofErr w:type="spellEnd"/>
      <w:r w:rsidR="005007FE">
        <w:rPr>
          <w:sz w:val="24"/>
          <w:szCs w:val="24"/>
        </w:rPr>
        <w:t>, M</w:t>
      </w:r>
      <w:r w:rsidR="007A752E">
        <w:rPr>
          <w:sz w:val="24"/>
          <w:szCs w:val="24"/>
        </w:rPr>
        <w:t xml:space="preserve">ayor of </w:t>
      </w:r>
      <w:proofErr w:type="spellStart"/>
      <w:r w:rsidR="007A752E">
        <w:rPr>
          <w:sz w:val="24"/>
          <w:szCs w:val="24"/>
        </w:rPr>
        <w:t>Lviv</w:t>
      </w:r>
      <w:proofErr w:type="spellEnd"/>
      <w:r w:rsidR="007A752E">
        <w:rPr>
          <w:sz w:val="24"/>
          <w:szCs w:val="24"/>
        </w:rPr>
        <w:t>.</w:t>
      </w:r>
      <w:r w:rsidR="00870FBA" w:rsidRPr="002A0B59">
        <w:rPr>
          <w:sz w:val="24"/>
          <w:szCs w:val="24"/>
        </w:rPr>
        <w:t xml:space="preserve"> </w:t>
      </w:r>
    </w:p>
    <w:p w:rsidR="00870FBA" w:rsidRDefault="005007FE" w:rsidP="00870FBA">
      <w:pPr>
        <w:jc w:val="both"/>
        <w:rPr>
          <w:sz w:val="24"/>
          <w:szCs w:val="24"/>
        </w:rPr>
      </w:pPr>
      <w:r>
        <w:rPr>
          <w:sz w:val="24"/>
          <w:szCs w:val="24"/>
        </w:rPr>
        <w:t xml:space="preserve">Thus, </w:t>
      </w:r>
      <w:r w:rsidR="00870FBA" w:rsidRPr="004E384B">
        <w:rPr>
          <w:sz w:val="24"/>
          <w:szCs w:val="24"/>
        </w:rPr>
        <w:t>the best the government could do in the frantic closing m</w:t>
      </w:r>
      <w:r w:rsidR="00406DE6">
        <w:rPr>
          <w:sz w:val="24"/>
          <w:szCs w:val="24"/>
        </w:rPr>
        <w:t xml:space="preserve">onths of 2014 was to pass legislation </w:t>
      </w:r>
      <w:r w:rsidR="00870FBA" w:rsidRPr="004E384B">
        <w:rPr>
          <w:sz w:val="24"/>
          <w:szCs w:val="24"/>
        </w:rPr>
        <w:t>that allowed gromada to amalgamate on a voluntary basis</w:t>
      </w:r>
      <w:r w:rsidR="006B60D3">
        <w:rPr>
          <w:sz w:val="24"/>
          <w:szCs w:val="24"/>
        </w:rPr>
        <w:t>,</w:t>
      </w:r>
      <w:r w:rsidR="00870FBA" w:rsidRPr="004E384B">
        <w:rPr>
          <w:sz w:val="24"/>
          <w:szCs w:val="24"/>
        </w:rPr>
        <w:t xml:space="preserve"> and to amend the budget </w:t>
      </w:r>
      <w:r w:rsidR="00870FBA" w:rsidRPr="004E384B">
        <w:rPr>
          <w:sz w:val="24"/>
          <w:szCs w:val="24"/>
        </w:rPr>
        <w:lastRenderedPageBreak/>
        <w:t>and tax codes</w:t>
      </w:r>
      <w:r>
        <w:rPr>
          <w:sz w:val="24"/>
          <w:szCs w:val="24"/>
        </w:rPr>
        <w:t>.</w:t>
      </w:r>
      <w:r w:rsidR="00406DE6">
        <w:rPr>
          <w:sz w:val="24"/>
          <w:szCs w:val="24"/>
        </w:rPr>
        <w:t xml:space="preserve"> These amendments significantly changed t</w:t>
      </w:r>
      <w:r w:rsidR="00870FBA" w:rsidRPr="004E384B">
        <w:rPr>
          <w:sz w:val="24"/>
          <w:szCs w:val="24"/>
        </w:rPr>
        <w:t>he i</w:t>
      </w:r>
      <w:r w:rsidR="00406DE6">
        <w:rPr>
          <w:sz w:val="24"/>
          <w:szCs w:val="24"/>
        </w:rPr>
        <w:t>ntergovernmental finance system in the following ways</w:t>
      </w:r>
      <w:r w:rsidR="006B60D3">
        <w:rPr>
          <w:sz w:val="24"/>
          <w:szCs w:val="24"/>
        </w:rPr>
        <w:t>:</w:t>
      </w:r>
      <w:r w:rsidR="00870FBA" w:rsidRPr="004E384B">
        <w:rPr>
          <w:rStyle w:val="FootnoteReference"/>
          <w:sz w:val="24"/>
          <w:szCs w:val="24"/>
        </w:rPr>
        <w:footnoteReference w:id="12"/>
      </w:r>
    </w:p>
    <w:p w:rsidR="00F5403B" w:rsidRDefault="00F5403B" w:rsidP="00F5403B">
      <w:pPr>
        <w:pStyle w:val="ListParagraph"/>
        <w:numPr>
          <w:ilvl w:val="0"/>
          <w:numId w:val="1"/>
        </w:numPr>
        <w:jc w:val="both"/>
        <w:rPr>
          <w:rFonts w:asciiTheme="minorHAnsi" w:hAnsiTheme="minorHAnsi"/>
        </w:rPr>
      </w:pPr>
      <w:r w:rsidRPr="00F5403B">
        <w:rPr>
          <w:rFonts w:asciiTheme="minorHAnsi" w:hAnsiTheme="minorHAnsi"/>
        </w:rPr>
        <w:t>The lump-</w:t>
      </w:r>
      <w:r w:rsidR="00406DE6" w:rsidRPr="00F5403B">
        <w:rPr>
          <w:rFonts w:asciiTheme="minorHAnsi" w:hAnsiTheme="minorHAnsi"/>
        </w:rPr>
        <w:t>sum</w:t>
      </w:r>
      <w:r w:rsidRPr="00F5403B">
        <w:rPr>
          <w:rFonts w:asciiTheme="minorHAnsi" w:hAnsiTheme="minorHAnsi"/>
        </w:rPr>
        <w:t>,</w:t>
      </w:r>
      <w:r w:rsidR="00406DE6" w:rsidRPr="00F5403B">
        <w:rPr>
          <w:rFonts w:asciiTheme="minorHAnsi" w:hAnsiTheme="minorHAnsi"/>
        </w:rPr>
        <w:t xml:space="preserve"> gap-filling grant that all levels of subnational government had previously received for their social sector functions was replaced by separate Health, Education and Social Welfare </w:t>
      </w:r>
      <w:r w:rsidRPr="00F5403B">
        <w:rPr>
          <w:rFonts w:asciiTheme="minorHAnsi" w:hAnsiTheme="minorHAnsi"/>
        </w:rPr>
        <w:t>block grants, as well as a</w:t>
      </w:r>
      <w:r w:rsidR="00406DE6" w:rsidRPr="00F5403B">
        <w:rPr>
          <w:rFonts w:asciiTheme="minorHAnsi" w:hAnsiTheme="minorHAnsi"/>
        </w:rPr>
        <w:t xml:space="preserve"> small</w:t>
      </w:r>
      <w:r w:rsidRPr="00F5403B">
        <w:rPr>
          <w:rFonts w:asciiTheme="minorHAnsi" w:hAnsiTheme="minorHAnsi"/>
        </w:rPr>
        <w:t>, freely disposable</w:t>
      </w:r>
      <w:r>
        <w:rPr>
          <w:rFonts w:asciiTheme="minorHAnsi" w:hAnsiTheme="minorHAnsi"/>
        </w:rPr>
        <w:t xml:space="preserve"> equalization grant</w:t>
      </w:r>
      <w:r w:rsidR="00F51A55">
        <w:rPr>
          <w:rFonts w:asciiTheme="minorHAnsi" w:hAnsiTheme="minorHAnsi"/>
        </w:rPr>
        <w:t>.</w:t>
      </w:r>
      <w:r w:rsidR="000B0941">
        <w:rPr>
          <w:rFonts w:asciiTheme="minorHAnsi" w:hAnsiTheme="minorHAnsi"/>
        </w:rPr>
        <w:t xml:space="preserve"> This change was designed to make it clearer how much national support subnational governments were to receive for each of the s</w:t>
      </w:r>
      <w:r w:rsidR="006B60D3">
        <w:rPr>
          <w:rFonts w:asciiTheme="minorHAnsi" w:hAnsiTheme="minorHAnsi"/>
        </w:rPr>
        <w:t>ocial sector functions they had been made responsible for, and to reduce the pressure on line ministries to impose their own expenditure norms.</w:t>
      </w:r>
    </w:p>
    <w:p w:rsidR="00F51A55" w:rsidRPr="00F5403B" w:rsidRDefault="00F51A55" w:rsidP="00F51A55">
      <w:pPr>
        <w:pStyle w:val="ListParagraph"/>
        <w:jc w:val="both"/>
        <w:rPr>
          <w:rFonts w:asciiTheme="minorHAnsi" w:hAnsiTheme="minorHAnsi"/>
        </w:rPr>
      </w:pPr>
    </w:p>
    <w:p w:rsidR="00870FBA" w:rsidRDefault="000B0941" w:rsidP="00870FBA">
      <w:pPr>
        <w:pStyle w:val="ListParagraph"/>
        <w:numPr>
          <w:ilvl w:val="0"/>
          <w:numId w:val="1"/>
        </w:numPr>
        <w:jc w:val="both"/>
        <w:rPr>
          <w:rFonts w:asciiTheme="minorHAnsi" w:hAnsiTheme="minorHAnsi"/>
        </w:rPr>
      </w:pPr>
      <w:r w:rsidRPr="005C5A04">
        <w:rPr>
          <w:rFonts w:asciiTheme="minorHAnsi" w:hAnsiTheme="minorHAnsi"/>
        </w:rPr>
        <w:t>The normative cost calculations for preschool e</w:t>
      </w:r>
      <w:r w:rsidR="00F5403B" w:rsidRPr="005C5A04">
        <w:rPr>
          <w:rFonts w:asciiTheme="minorHAnsi" w:hAnsiTheme="minorHAnsi"/>
        </w:rPr>
        <w:t xml:space="preserve">ducation and social welfare </w:t>
      </w:r>
      <w:r w:rsidR="00870FBA" w:rsidRPr="005C5A04">
        <w:rPr>
          <w:rFonts w:asciiTheme="minorHAnsi" w:hAnsiTheme="minorHAnsi"/>
        </w:rPr>
        <w:t xml:space="preserve">institutions like orphanages and homes </w:t>
      </w:r>
      <w:r w:rsidRPr="005C5A04">
        <w:rPr>
          <w:rFonts w:asciiTheme="minorHAnsi" w:hAnsiTheme="minorHAnsi"/>
        </w:rPr>
        <w:t xml:space="preserve">were taken out of the more general formulas used to calculate </w:t>
      </w:r>
      <w:r w:rsidR="006B60D3">
        <w:rPr>
          <w:rFonts w:asciiTheme="minorHAnsi" w:hAnsiTheme="minorHAnsi"/>
        </w:rPr>
        <w:t xml:space="preserve">the expenditure needs in </w:t>
      </w:r>
      <w:r w:rsidRPr="005C5A04">
        <w:rPr>
          <w:rFonts w:asciiTheme="minorHAnsi" w:hAnsiTheme="minorHAnsi"/>
        </w:rPr>
        <w:t>education and social welfare</w:t>
      </w:r>
      <w:r w:rsidR="006B60D3">
        <w:rPr>
          <w:rFonts w:asciiTheme="minorHAnsi" w:hAnsiTheme="minorHAnsi"/>
        </w:rPr>
        <w:t>.</w:t>
      </w:r>
      <w:r w:rsidRPr="005C5A04">
        <w:rPr>
          <w:rFonts w:asciiTheme="minorHAnsi" w:hAnsiTheme="minorHAnsi"/>
        </w:rPr>
        <w:t xml:space="preserve"> This</w:t>
      </w:r>
      <w:r w:rsidR="006B60D3">
        <w:rPr>
          <w:rFonts w:asciiTheme="minorHAnsi" w:hAnsiTheme="minorHAnsi"/>
        </w:rPr>
        <w:t xml:space="preserve"> signaled that </w:t>
      </w:r>
      <w:r w:rsidRPr="005C5A04">
        <w:rPr>
          <w:rFonts w:asciiTheme="minorHAnsi" w:hAnsiTheme="minorHAnsi"/>
        </w:rPr>
        <w:t>these responsibilities</w:t>
      </w:r>
      <w:r w:rsidR="006B60D3">
        <w:rPr>
          <w:rFonts w:asciiTheme="minorHAnsi" w:hAnsiTheme="minorHAnsi"/>
        </w:rPr>
        <w:t xml:space="preserve"> were now to be considered own functions </w:t>
      </w:r>
      <w:r w:rsidR="005C5A04" w:rsidRPr="005C5A04">
        <w:rPr>
          <w:rFonts w:asciiTheme="minorHAnsi" w:hAnsiTheme="minorHAnsi"/>
        </w:rPr>
        <w:t>--</w:t>
      </w:r>
      <w:r w:rsidRPr="005C5A04">
        <w:rPr>
          <w:rFonts w:asciiTheme="minorHAnsi" w:hAnsiTheme="minorHAnsi"/>
        </w:rPr>
        <w:t>as opposed to shared ones</w:t>
      </w:r>
      <w:r w:rsidR="004E35EE">
        <w:rPr>
          <w:rFonts w:asciiTheme="minorHAnsi" w:hAnsiTheme="minorHAnsi"/>
        </w:rPr>
        <w:t>. And their costs would</w:t>
      </w:r>
      <w:r w:rsidR="005C5A04" w:rsidRPr="005C5A04">
        <w:rPr>
          <w:rFonts w:asciiTheme="minorHAnsi" w:hAnsiTheme="minorHAnsi"/>
        </w:rPr>
        <w:t xml:space="preserve"> be paid for solely from the general revenues of subnational governments. </w:t>
      </w:r>
    </w:p>
    <w:p w:rsidR="005C5A04" w:rsidRPr="005C5A04" w:rsidRDefault="005C5A04" w:rsidP="005C5A04">
      <w:pPr>
        <w:spacing w:after="0"/>
        <w:jc w:val="both"/>
      </w:pPr>
    </w:p>
    <w:p w:rsidR="002B1115" w:rsidRDefault="00F51A55" w:rsidP="00870FBA">
      <w:pPr>
        <w:pStyle w:val="ListParagraph"/>
        <w:numPr>
          <w:ilvl w:val="0"/>
          <w:numId w:val="1"/>
        </w:numPr>
        <w:jc w:val="both"/>
        <w:rPr>
          <w:rFonts w:asciiTheme="minorHAnsi" w:hAnsiTheme="minorHAnsi"/>
        </w:rPr>
      </w:pPr>
      <w:r w:rsidRPr="00F51A55">
        <w:rPr>
          <w:rFonts w:asciiTheme="minorHAnsi" w:hAnsiTheme="minorHAnsi"/>
        </w:rPr>
        <w:t xml:space="preserve">The Oblast share of </w:t>
      </w:r>
      <w:r w:rsidR="00870FBA" w:rsidRPr="00F51A55">
        <w:rPr>
          <w:rFonts w:asciiTheme="minorHAnsi" w:hAnsiTheme="minorHAnsi"/>
        </w:rPr>
        <w:t>PIT</w:t>
      </w:r>
      <w:r w:rsidRPr="00F51A55">
        <w:rPr>
          <w:rFonts w:asciiTheme="minorHAnsi" w:hAnsiTheme="minorHAnsi"/>
        </w:rPr>
        <w:t xml:space="preserve"> was</w:t>
      </w:r>
      <w:r w:rsidR="00870FBA" w:rsidRPr="00F51A55">
        <w:rPr>
          <w:rFonts w:asciiTheme="minorHAnsi" w:hAnsiTheme="minorHAnsi"/>
        </w:rPr>
        <w:t xml:space="preserve"> re</w:t>
      </w:r>
      <w:r w:rsidRPr="00F51A55">
        <w:rPr>
          <w:rFonts w:asciiTheme="minorHAnsi" w:hAnsiTheme="minorHAnsi"/>
        </w:rPr>
        <w:t xml:space="preserve">duced from 25% to 15%, while the share returned to rayons and cities was </w:t>
      </w:r>
      <w:r w:rsidR="00870FBA" w:rsidRPr="00F51A55">
        <w:rPr>
          <w:rFonts w:asciiTheme="minorHAnsi" w:hAnsiTheme="minorHAnsi"/>
        </w:rPr>
        <w:t>reduced from 75% to 60%.</w:t>
      </w:r>
      <w:r w:rsidR="002B1115">
        <w:rPr>
          <w:rFonts w:asciiTheme="minorHAnsi" w:hAnsiTheme="minorHAnsi"/>
        </w:rPr>
        <w:t xml:space="preserve"> As resu</w:t>
      </w:r>
      <w:r w:rsidR="004E35EE">
        <w:rPr>
          <w:rFonts w:asciiTheme="minorHAnsi" w:hAnsiTheme="minorHAnsi"/>
        </w:rPr>
        <w:t>lt, the national government would</w:t>
      </w:r>
      <w:r w:rsidR="002B1115">
        <w:rPr>
          <w:rFonts w:asciiTheme="minorHAnsi" w:hAnsiTheme="minorHAnsi"/>
        </w:rPr>
        <w:t xml:space="preserve"> retain 25% of the national y</w:t>
      </w:r>
      <w:r w:rsidR="004E35EE">
        <w:rPr>
          <w:rFonts w:asciiTheme="minorHAnsi" w:hAnsiTheme="minorHAnsi"/>
        </w:rPr>
        <w:t xml:space="preserve">ield of PIT, monies that it could </w:t>
      </w:r>
      <w:r w:rsidR="002B1115">
        <w:rPr>
          <w:rFonts w:asciiTheme="minorHAnsi" w:hAnsiTheme="minorHAnsi"/>
        </w:rPr>
        <w:t>then use to finance the new social sector block grants.</w:t>
      </w:r>
    </w:p>
    <w:p w:rsidR="002B1115" w:rsidRPr="002B1115" w:rsidRDefault="002B1115" w:rsidP="002B1115">
      <w:pPr>
        <w:pStyle w:val="ListParagraph"/>
        <w:rPr>
          <w:rFonts w:asciiTheme="minorHAnsi" w:hAnsiTheme="minorHAnsi"/>
        </w:rPr>
      </w:pPr>
    </w:p>
    <w:p w:rsidR="00870FBA" w:rsidRPr="00F51A55" w:rsidRDefault="004E35EE" w:rsidP="00870FBA">
      <w:pPr>
        <w:pStyle w:val="ListParagraph"/>
        <w:numPr>
          <w:ilvl w:val="0"/>
          <w:numId w:val="1"/>
        </w:numPr>
        <w:jc w:val="both"/>
        <w:rPr>
          <w:rFonts w:asciiTheme="minorHAnsi" w:hAnsiTheme="minorHAnsi"/>
        </w:rPr>
      </w:pPr>
      <w:r>
        <w:rPr>
          <w:rFonts w:asciiTheme="minorHAnsi" w:hAnsiTheme="minorHAnsi"/>
        </w:rPr>
        <w:t>To encourage</w:t>
      </w:r>
      <w:r w:rsidR="00F51A55" w:rsidRPr="00F51A55">
        <w:rPr>
          <w:rFonts w:asciiTheme="minorHAnsi" w:hAnsiTheme="minorHAnsi"/>
        </w:rPr>
        <w:t xml:space="preserve"> amalgamation</w:t>
      </w:r>
      <w:r>
        <w:rPr>
          <w:rFonts w:asciiTheme="minorHAnsi" w:hAnsiTheme="minorHAnsi"/>
        </w:rPr>
        <w:t>,</w:t>
      </w:r>
      <w:r w:rsidR="00F51A55" w:rsidRPr="00F51A55">
        <w:rPr>
          <w:rFonts w:asciiTheme="minorHAnsi" w:hAnsiTheme="minorHAnsi"/>
        </w:rPr>
        <w:t xml:space="preserve"> unconsolidated gromada lost their 25% share of PIT</w:t>
      </w:r>
      <w:r w:rsidR="00F51A55">
        <w:rPr>
          <w:rFonts w:asciiTheme="minorHAnsi" w:hAnsiTheme="minorHAnsi"/>
        </w:rPr>
        <w:t xml:space="preserve"> while </w:t>
      </w:r>
      <w:r w:rsidR="00870FBA" w:rsidRPr="00F51A55">
        <w:rPr>
          <w:rFonts w:asciiTheme="minorHAnsi" w:hAnsiTheme="minorHAnsi"/>
        </w:rPr>
        <w:t>Amalgamated Gromada were assigned the right to a 60% PIT share at the moment of their creation</w:t>
      </w:r>
      <w:r w:rsidR="00F51A55">
        <w:rPr>
          <w:rFonts w:asciiTheme="minorHAnsi" w:hAnsiTheme="minorHAnsi"/>
        </w:rPr>
        <w:t>,</w:t>
      </w:r>
      <w:r w:rsidR="00870FBA" w:rsidRPr="00F51A55">
        <w:rPr>
          <w:rFonts w:asciiTheme="minorHAnsi" w:hAnsiTheme="minorHAnsi"/>
        </w:rPr>
        <w:t xml:space="preserve"> and at the expense of the concerned rayon</w:t>
      </w:r>
      <w:r w:rsidR="00206108">
        <w:rPr>
          <w:rFonts w:asciiTheme="minorHAnsi" w:hAnsiTheme="minorHAnsi"/>
        </w:rPr>
        <w:t>(s)</w:t>
      </w:r>
      <w:r w:rsidR="00870FBA" w:rsidRPr="00F51A55">
        <w:rPr>
          <w:rFonts w:asciiTheme="minorHAnsi" w:hAnsiTheme="minorHAnsi"/>
        </w:rPr>
        <w:t>.</w:t>
      </w:r>
    </w:p>
    <w:p w:rsidR="00870FBA" w:rsidRPr="000E2743" w:rsidRDefault="00870FBA" w:rsidP="00870FBA">
      <w:pPr>
        <w:pStyle w:val="ListParagraph"/>
        <w:rPr>
          <w:rFonts w:asciiTheme="minorHAnsi" w:hAnsiTheme="minorHAnsi"/>
        </w:rPr>
      </w:pPr>
    </w:p>
    <w:p w:rsidR="00870FBA" w:rsidRPr="00F51A55" w:rsidRDefault="00870FBA" w:rsidP="00870FBA">
      <w:pPr>
        <w:pStyle w:val="ListParagraph"/>
        <w:numPr>
          <w:ilvl w:val="0"/>
          <w:numId w:val="1"/>
        </w:numPr>
        <w:jc w:val="both"/>
        <w:rPr>
          <w:rFonts w:asciiTheme="minorHAnsi" w:hAnsiTheme="minorHAnsi"/>
        </w:rPr>
      </w:pPr>
      <w:r w:rsidRPr="00F51A55">
        <w:rPr>
          <w:rFonts w:asciiTheme="minorHAnsi" w:hAnsiTheme="minorHAnsi"/>
        </w:rPr>
        <w:t>Oblasts</w:t>
      </w:r>
      <w:r w:rsidR="004E35EE">
        <w:rPr>
          <w:rFonts w:asciiTheme="minorHAnsi" w:hAnsiTheme="minorHAnsi"/>
        </w:rPr>
        <w:t>, and the Capital City of Kyiv,</w:t>
      </w:r>
      <w:r w:rsidR="00F51A55" w:rsidRPr="00F51A55">
        <w:rPr>
          <w:rFonts w:asciiTheme="minorHAnsi" w:hAnsiTheme="minorHAnsi"/>
        </w:rPr>
        <w:t xml:space="preserve"> were given a 10% share of</w:t>
      </w:r>
      <w:r w:rsidRPr="00F51A55">
        <w:rPr>
          <w:rFonts w:asciiTheme="minorHAnsi" w:hAnsiTheme="minorHAnsi"/>
        </w:rPr>
        <w:t xml:space="preserve"> Corporate Income Tax, as well as a higher share of Envir</w:t>
      </w:r>
      <w:r w:rsidR="00F51A55" w:rsidRPr="00F51A55">
        <w:rPr>
          <w:rFonts w:asciiTheme="minorHAnsi" w:hAnsiTheme="minorHAnsi"/>
        </w:rPr>
        <w:t>onm</w:t>
      </w:r>
      <w:r w:rsidR="004E35EE">
        <w:rPr>
          <w:rFonts w:asciiTheme="minorHAnsi" w:hAnsiTheme="minorHAnsi"/>
        </w:rPr>
        <w:t>ental Fees (55% up from 10%) while</w:t>
      </w:r>
      <w:r w:rsidR="00F51A55" w:rsidRPr="00F51A55">
        <w:rPr>
          <w:rFonts w:asciiTheme="minorHAnsi" w:hAnsiTheme="minorHAnsi"/>
        </w:rPr>
        <w:t xml:space="preserve"> cities and rayons </w:t>
      </w:r>
      <w:r w:rsidRPr="00F51A55">
        <w:rPr>
          <w:rFonts w:asciiTheme="minorHAnsi" w:hAnsiTheme="minorHAnsi"/>
        </w:rPr>
        <w:t xml:space="preserve">were allowed to retain 100% of certain state duties and administrative fees that </w:t>
      </w:r>
      <w:r w:rsidR="00F51A55">
        <w:rPr>
          <w:rFonts w:asciiTheme="minorHAnsi" w:hAnsiTheme="minorHAnsi"/>
        </w:rPr>
        <w:t xml:space="preserve">had been </w:t>
      </w:r>
      <w:r w:rsidR="004E35EE" w:rsidRPr="00F51A55">
        <w:rPr>
          <w:rFonts w:asciiTheme="minorHAnsi" w:hAnsiTheme="minorHAnsi"/>
        </w:rPr>
        <w:t>previously</w:t>
      </w:r>
      <w:r w:rsidR="004E35EE">
        <w:rPr>
          <w:rFonts w:asciiTheme="minorHAnsi" w:hAnsiTheme="minorHAnsi"/>
        </w:rPr>
        <w:t xml:space="preserve"> </w:t>
      </w:r>
      <w:r w:rsidR="00F51A55">
        <w:rPr>
          <w:rFonts w:asciiTheme="minorHAnsi" w:hAnsiTheme="minorHAnsi"/>
        </w:rPr>
        <w:t xml:space="preserve">returned </w:t>
      </w:r>
      <w:r w:rsidRPr="00F51A55">
        <w:rPr>
          <w:rFonts w:asciiTheme="minorHAnsi" w:hAnsiTheme="minorHAnsi"/>
        </w:rPr>
        <w:t>to the national budget.</w:t>
      </w:r>
    </w:p>
    <w:p w:rsidR="00870FBA" w:rsidRPr="009937F8" w:rsidRDefault="00870FBA" w:rsidP="00870FBA">
      <w:pPr>
        <w:pStyle w:val="ListParagraph"/>
        <w:rPr>
          <w:rFonts w:asciiTheme="minorHAnsi" w:hAnsiTheme="minorHAnsi"/>
          <w:sz w:val="16"/>
          <w:szCs w:val="16"/>
        </w:rPr>
      </w:pPr>
    </w:p>
    <w:p w:rsidR="00870FBA" w:rsidRPr="00ED13BC" w:rsidRDefault="00706B89" w:rsidP="00870FBA">
      <w:pPr>
        <w:pStyle w:val="ListParagraph"/>
        <w:numPr>
          <w:ilvl w:val="0"/>
          <w:numId w:val="1"/>
        </w:numPr>
        <w:jc w:val="both"/>
        <w:rPr>
          <w:rFonts w:asciiTheme="minorHAnsi" w:hAnsiTheme="minorHAnsi"/>
        </w:rPr>
      </w:pPr>
      <w:r>
        <w:rPr>
          <w:rFonts w:asciiTheme="minorHAnsi" w:hAnsiTheme="minorHAnsi"/>
        </w:rPr>
        <w:t>C</w:t>
      </w:r>
      <w:r w:rsidR="004E35EE">
        <w:rPr>
          <w:rFonts w:asciiTheme="minorHAnsi" w:hAnsiTheme="minorHAnsi"/>
        </w:rPr>
        <w:t>ities and both amalgamated and unamalgamated gromada</w:t>
      </w:r>
      <w:r w:rsidR="002B1115">
        <w:rPr>
          <w:rFonts w:asciiTheme="minorHAnsi" w:hAnsiTheme="minorHAnsi"/>
        </w:rPr>
        <w:t xml:space="preserve"> were</w:t>
      </w:r>
      <w:r w:rsidR="00206108">
        <w:rPr>
          <w:rFonts w:asciiTheme="minorHAnsi" w:hAnsiTheme="minorHAnsi"/>
        </w:rPr>
        <w:t xml:space="preserve"> given</w:t>
      </w:r>
      <w:r w:rsidR="00870FBA">
        <w:rPr>
          <w:rFonts w:asciiTheme="minorHAnsi" w:hAnsiTheme="minorHAnsi"/>
        </w:rPr>
        <w:t xml:space="preserve"> </w:t>
      </w:r>
      <w:r w:rsidR="00870FBA" w:rsidRPr="00255C68">
        <w:rPr>
          <w:rFonts w:asciiTheme="minorHAnsi" w:hAnsiTheme="minorHAnsi"/>
        </w:rPr>
        <w:t xml:space="preserve">a 5% surcharge </w:t>
      </w:r>
      <w:r w:rsidR="008D14EC">
        <w:rPr>
          <w:rFonts w:asciiTheme="minorHAnsi" w:hAnsiTheme="minorHAnsi"/>
        </w:rPr>
        <w:t>on</w:t>
      </w:r>
      <w:r w:rsidR="00870FBA">
        <w:rPr>
          <w:rFonts w:asciiTheme="minorHAnsi" w:hAnsiTheme="minorHAnsi"/>
        </w:rPr>
        <w:t xml:space="preserve"> excisable goods </w:t>
      </w:r>
      <w:r w:rsidR="008D14EC">
        <w:rPr>
          <w:rFonts w:asciiTheme="minorHAnsi" w:hAnsiTheme="minorHAnsi"/>
        </w:rPr>
        <w:t xml:space="preserve">sold </w:t>
      </w:r>
      <w:r w:rsidR="00870FBA">
        <w:rPr>
          <w:rFonts w:asciiTheme="minorHAnsi" w:hAnsiTheme="minorHAnsi"/>
        </w:rPr>
        <w:t>in their jurisdictions</w:t>
      </w:r>
      <w:r w:rsidR="002B1115">
        <w:rPr>
          <w:rFonts w:asciiTheme="minorHAnsi" w:hAnsiTheme="minorHAnsi"/>
        </w:rPr>
        <w:t xml:space="preserve">. They were also given the right </w:t>
      </w:r>
      <w:r w:rsidR="008D14EC">
        <w:rPr>
          <w:rFonts w:asciiTheme="minorHAnsi" w:hAnsiTheme="minorHAnsi"/>
        </w:rPr>
        <w:t>to impose a new area based property tax on land and buildings</w:t>
      </w:r>
      <w:r w:rsidR="00870FBA">
        <w:rPr>
          <w:rFonts w:asciiTheme="minorHAnsi" w:hAnsiTheme="minorHAnsi"/>
        </w:rPr>
        <w:t>.</w:t>
      </w:r>
    </w:p>
    <w:p w:rsidR="008D14EC" w:rsidRDefault="008D14EC" w:rsidP="008D14EC">
      <w:pPr>
        <w:spacing w:after="0"/>
        <w:jc w:val="both"/>
        <w:rPr>
          <w:sz w:val="24"/>
          <w:szCs w:val="24"/>
        </w:rPr>
      </w:pPr>
    </w:p>
    <w:p w:rsidR="008D14EC" w:rsidRPr="001F6953" w:rsidRDefault="001F6953" w:rsidP="008D14EC">
      <w:pPr>
        <w:pStyle w:val="Heading1"/>
        <w:numPr>
          <w:ilvl w:val="0"/>
          <w:numId w:val="4"/>
        </w:numPr>
        <w:spacing w:before="0"/>
      </w:pPr>
      <w:bookmarkStart w:id="2" w:name="_Toc488757960"/>
      <w:r w:rsidRPr="001F6953">
        <w:t xml:space="preserve">The Effects of </w:t>
      </w:r>
      <w:r w:rsidR="008D14EC" w:rsidRPr="001F6953">
        <w:t>the 2015 Reforms</w:t>
      </w:r>
      <w:bookmarkEnd w:id="2"/>
      <w:r w:rsidRPr="001F6953">
        <w:t xml:space="preserve"> on Subnational Revenues</w:t>
      </w:r>
    </w:p>
    <w:p w:rsidR="00C40BEB" w:rsidRPr="00C40BEB" w:rsidRDefault="00C40BEB" w:rsidP="00C40BEB">
      <w:pPr>
        <w:spacing w:after="0"/>
      </w:pPr>
    </w:p>
    <w:p w:rsidR="008D14EC" w:rsidRDefault="008D14EC" w:rsidP="00870FBA">
      <w:pPr>
        <w:jc w:val="both"/>
        <w:rPr>
          <w:sz w:val="24"/>
          <w:szCs w:val="24"/>
        </w:rPr>
      </w:pPr>
      <w:r w:rsidRPr="00220171">
        <w:rPr>
          <w:sz w:val="24"/>
          <w:szCs w:val="24"/>
        </w:rPr>
        <w:t xml:space="preserve">Figure </w:t>
      </w:r>
      <w:r>
        <w:rPr>
          <w:sz w:val="24"/>
          <w:szCs w:val="24"/>
        </w:rPr>
        <w:t xml:space="preserve">II below, shows total </w:t>
      </w:r>
      <w:r w:rsidR="0047155E">
        <w:rPr>
          <w:sz w:val="24"/>
          <w:szCs w:val="24"/>
        </w:rPr>
        <w:t xml:space="preserve">subnational </w:t>
      </w:r>
      <w:r>
        <w:rPr>
          <w:sz w:val="24"/>
          <w:szCs w:val="24"/>
        </w:rPr>
        <w:t>revenue as a percentage of both total public revenue and GDP between 2012 and 2016</w:t>
      </w:r>
      <w:r w:rsidR="0047155E">
        <w:rPr>
          <w:sz w:val="24"/>
          <w:szCs w:val="24"/>
        </w:rPr>
        <w:t xml:space="preserve">. Subnational </w:t>
      </w:r>
      <w:r w:rsidR="002B1115">
        <w:rPr>
          <w:sz w:val="24"/>
          <w:szCs w:val="24"/>
        </w:rPr>
        <w:t>revenue remained</w:t>
      </w:r>
      <w:r>
        <w:rPr>
          <w:sz w:val="24"/>
          <w:szCs w:val="24"/>
        </w:rPr>
        <w:t xml:space="preserve"> stable as </w:t>
      </w:r>
      <w:r w:rsidR="004E35EE">
        <w:rPr>
          <w:sz w:val="24"/>
          <w:szCs w:val="24"/>
        </w:rPr>
        <w:t xml:space="preserve">a </w:t>
      </w:r>
      <w:r>
        <w:rPr>
          <w:sz w:val="24"/>
          <w:szCs w:val="24"/>
        </w:rPr>
        <w:t xml:space="preserve">percentage of </w:t>
      </w:r>
      <w:r w:rsidR="002B1115">
        <w:rPr>
          <w:sz w:val="24"/>
          <w:szCs w:val="24"/>
        </w:rPr>
        <w:t xml:space="preserve">both </w:t>
      </w:r>
      <w:r w:rsidR="002B1115">
        <w:rPr>
          <w:sz w:val="24"/>
          <w:szCs w:val="24"/>
        </w:rPr>
        <w:lastRenderedPageBreak/>
        <w:t xml:space="preserve">GDP and total public revenues in 2015, before rising fairly significantly as a share of both in 2016. </w:t>
      </w:r>
      <w:r>
        <w:rPr>
          <w:sz w:val="24"/>
          <w:szCs w:val="24"/>
        </w:rPr>
        <w:t xml:space="preserve"> </w:t>
      </w:r>
      <w:r w:rsidR="009A3837">
        <w:rPr>
          <w:sz w:val="24"/>
          <w:szCs w:val="24"/>
        </w:rPr>
        <w:t xml:space="preserve"> Th</w:t>
      </w:r>
      <w:r w:rsidR="004E35EE">
        <w:rPr>
          <w:sz w:val="24"/>
          <w:szCs w:val="24"/>
        </w:rPr>
        <w:t>e fact that subnational revenue</w:t>
      </w:r>
      <w:r w:rsidR="009A3837">
        <w:rPr>
          <w:sz w:val="24"/>
          <w:szCs w:val="24"/>
        </w:rPr>
        <w:t xml:space="preserve"> actually increased</w:t>
      </w:r>
      <w:r w:rsidR="004E35EE">
        <w:rPr>
          <w:sz w:val="24"/>
          <w:szCs w:val="24"/>
        </w:rPr>
        <w:t xml:space="preserve"> as share of public revenue, </w:t>
      </w:r>
      <w:r w:rsidR="009A3837">
        <w:rPr>
          <w:sz w:val="24"/>
          <w:szCs w:val="24"/>
        </w:rPr>
        <w:t>while</w:t>
      </w:r>
      <w:r w:rsidR="004E35EE">
        <w:rPr>
          <w:sz w:val="24"/>
          <w:szCs w:val="24"/>
        </w:rPr>
        <w:t xml:space="preserve"> </w:t>
      </w:r>
      <w:r w:rsidR="009A3837">
        <w:rPr>
          <w:sz w:val="24"/>
          <w:szCs w:val="24"/>
        </w:rPr>
        <w:t>the overall size of the public sector fell</w:t>
      </w:r>
      <w:r w:rsidR="004E35EE">
        <w:rPr>
          <w:sz w:val="24"/>
          <w:szCs w:val="24"/>
        </w:rPr>
        <w:t>,</w:t>
      </w:r>
      <w:r w:rsidRPr="001B39EC">
        <w:rPr>
          <w:sz w:val="24"/>
          <w:szCs w:val="24"/>
        </w:rPr>
        <w:t xml:space="preserve"> is remarkable because countries at war almost inevitably recentralize public finances</w:t>
      </w:r>
      <w:r w:rsidR="0047155E">
        <w:rPr>
          <w:sz w:val="24"/>
          <w:szCs w:val="24"/>
        </w:rPr>
        <w:t xml:space="preserve">. Indeed, </w:t>
      </w:r>
      <w:r w:rsidR="009A3837">
        <w:rPr>
          <w:sz w:val="24"/>
          <w:szCs w:val="24"/>
        </w:rPr>
        <w:t>it is strong evidence that</w:t>
      </w:r>
      <w:r w:rsidR="0047155E">
        <w:rPr>
          <w:sz w:val="24"/>
          <w:szCs w:val="24"/>
        </w:rPr>
        <w:t xml:space="preserve"> </w:t>
      </w:r>
      <w:r w:rsidR="009A3837">
        <w:rPr>
          <w:sz w:val="24"/>
          <w:szCs w:val="24"/>
        </w:rPr>
        <w:t xml:space="preserve">the </w:t>
      </w:r>
      <w:r w:rsidR="0047155E">
        <w:rPr>
          <w:sz w:val="24"/>
          <w:szCs w:val="24"/>
        </w:rPr>
        <w:t>Poroshenko government was ser</w:t>
      </w:r>
      <w:r w:rsidR="009A3837">
        <w:rPr>
          <w:sz w:val="24"/>
          <w:szCs w:val="24"/>
        </w:rPr>
        <w:t>ious about its commitment to subnational governments and that its support for “decentralization” was much more than a rhetorical</w:t>
      </w:r>
      <w:r w:rsidR="004E35EE">
        <w:rPr>
          <w:sz w:val="24"/>
          <w:szCs w:val="24"/>
        </w:rPr>
        <w:t xml:space="preserve"> tactic to assuage demands</w:t>
      </w:r>
      <w:r w:rsidR="009A3837">
        <w:rPr>
          <w:sz w:val="24"/>
          <w:szCs w:val="24"/>
        </w:rPr>
        <w:t xml:space="preserve"> for the federalization of the county.</w:t>
      </w:r>
    </w:p>
    <w:p w:rsidR="0047155E" w:rsidRPr="00AD0580" w:rsidRDefault="0047155E" w:rsidP="0047155E">
      <w:pPr>
        <w:pStyle w:val="Heading3"/>
        <w:rPr>
          <w:color w:val="1F4E79" w:themeColor="accent1" w:themeShade="80"/>
        </w:rPr>
      </w:pPr>
      <w:bookmarkStart w:id="3" w:name="_Toc488757962"/>
      <w:r w:rsidRPr="00AD0580">
        <w:rPr>
          <w:rFonts w:eastAsia="Times New Roman"/>
          <w:color w:val="1F4E79" w:themeColor="accent1" w:themeShade="80"/>
        </w:rPr>
        <w:t>Figure 2: Subnational Revenue as a % of GDP and Ge</w:t>
      </w:r>
      <w:r>
        <w:rPr>
          <w:rFonts w:eastAsia="Times New Roman"/>
          <w:color w:val="1F4E79" w:themeColor="accent1" w:themeShade="80"/>
        </w:rPr>
        <w:t>neral Government Revenue 2012-</w:t>
      </w:r>
      <w:r w:rsidRPr="00AD0580">
        <w:rPr>
          <w:rFonts w:eastAsia="Times New Roman"/>
          <w:color w:val="1F4E79" w:themeColor="accent1" w:themeShade="80"/>
        </w:rPr>
        <w:t>16</w:t>
      </w:r>
      <w:bookmarkEnd w:id="3"/>
    </w:p>
    <w:p w:rsidR="0047155E" w:rsidRDefault="0047155E" w:rsidP="00870FBA">
      <w:pPr>
        <w:jc w:val="both"/>
        <w:rPr>
          <w:sz w:val="24"/>
          <w:szCs w:val="24"/>
        </w:rPr>
      </w:pPr>
      <w:r>
        <w:rPr>
          <w:noProof/>
        </w:rPr>
        <w:drawing>
          <wp:inline distT="0" distB="0" distL="0" distR="0" wp14:anchorId="12AC1D9D" wp14:editId="6FF8BF50">
            <wp:extent cx="5958840" cy="2689860"/>
            <wp:effectExtent l="0" t="0" r="3810" b="1524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155E" w:rsidRDefault="00FD38A4" w:rsidP="0047155E">
      <w:pPr>
        <w:jc w:val="both"/>
        <w:rPr>
          <w:sz w:val="24"/>
          <w:szCs w:val="24"/>
        </w:rPr>
      </w:pPr>
      <w:r>
        <w:rPr>
          <w:sz w:val="24"/>
          <w:szCs w:val="24"/>
        </w:rPr>
        <w:t xml:space="preserve">But the fact that subnational revenues increased as a share both GDP and total public revenue does not mean that they have gone up significantly in real terms. </w:t>
      </w:r>
      <w:r w:rsidR="0047155E" w:rsidRPr="001B39EC">
        <w:rPr>
          <w:sz w:val="24"/>
          <w:szCs w:val="24"/>
        </w:rPr>
        <w:t xml:space="preserve">Figure 3 below, shows total </w:t>
      </w:r>
      <w:r w:rsidR="004E35EE">
        <w:rPr>
          <w:sz w:val="24"/>
          <w:szCs w:val="24"/>
        </w:rPr>
        <w:t>that</w:t>
      </w:r>
      <w:r w:rsidR="00577463">
        <w:rPr>
          <w:sz w:val="24"/>
          <w:szCs w:val="24"/>
        </w:rPr>
        <w:t xml:space="preserve"> subnational revenue actually fell in inflation adjusted hryvna</w:t>
      </w:r>
      <w:r w:rsidR="004E35EE">
        <w:rPr>
          <w:sz w:val="24"/>
          <w:szCs w:val="24"/>
        </w:rPr>
        <w:t xml:space="preserve"> </w:t>
      </w:r>
      <w:r w:rsidR="00577463">
        <w:rPr>
          <w:sz w:val="24"/>
          <w:szCs w:val="24"/>
        </w:rPr>
        <w:t>in 2015 before increasing slightly in 2016.</w:t>
      </w:r>
      <w:r w:rsidR="0047155E" w:rsidRPr="00704C4A">
        <w:rPr>
          <w:sz w:val="24"/>
          <w:szCs w:val="24"/>
        </w:rPr>
        <w:t xml:space="preserve"> </w:t>
      </w:r>
    </w:p>
    <w:p w:rsidR="0047155E" w:rsidRPr="00AD0580" w:rsidRDefault="0047155E" w:rsidP="0047155E">
      <w:pPr>
        <w:pStyle w:val="Heading3"/>
        <w:rPr>
          <w:rFonts w:eastAsia="Times New Roman"/>
          <w:color w:val="1F4E79" w:themeColor="accent1" w:themeShade="80"/>
        </w:rPr>
      </w:pPr>
      <w:bookmarkStart w:id="4" w:name="_Toc488757963"/>
      <w:r w:rsidRPr="00AD0580">
        <w:rPr>
          <w:color w:val="1F4E79" w:themeColor="accent1" w:themeShade="80"/>
        </w:rPr>
        <w:t>Figure 3</w:t>
      </w:r>
      <w:r>
        <w:rPr>
          <w:color w:val="1F4E79" w:themeColor="accent1" w:themeShade="80"/>
        </w:rPr>
        <w:t>:</w:t>
      </w:r>
      <w:r w:rsidRPr="00AD0580">
        <w:rPr>
          <w:color w:val="1F4E79" w:themeColor="accent1" w:themeShade="80"/>
        </w:rPr>
        <w:t xml:space="preserve"> </w:t>
      </w:r>
      <w:r w:rsidRPr="00AD0580">
        <w:rPr>
          <w:rFonts w:eastAsia="Times New Roman"/>
          <w:color w:val="1F4E79" w:themeColor="accent1" w:themeShade="80"/>
        </w:rPr>
        <w:t>Total Local Government Revenue in Nominal &amp;</w:t>
      </w:r>
      <w:r>
        <w:rPr>
          <w:rFonts w:eastAsia="Times New Roman"/>
          <w:color w:val="1F4E79" w:themeColor="accent1" w:themeShade="80"/>
        </w:rPr>
        <w:t xml:space="preserve"> 2016 UAH (bln) 2014-16</w:t>
      </w:r>
      <w:bookmarkEnd w:id="4"/>
      <w:r>
        <w:rPr>
          <w:rFonts w:eastAsia="Times New Roman"/>
          <w:color w:val="1F4E79" w:themeColor="accent1" w:themeShade="80"/>
        </w:rPr>
        <w:t xml:space="preserve"> </w:t>
      </w:r>
    </w:p>
    <w:p w:rsidR="0047155E" w:rsidRDefault="0047155E" w:rsidP="0047155E">
      <w:pPr>
        <w:jc w:val="both"/>
        <w:rPr>
          <w:sz w:val="24"/>
          <w:szCs w:val="24"/>
        </w:rPr>
      </w:pPr>
      <w:r>
        <w:rPr>
          <w:noProof/>
        </w:rPr>
        <w:drawing>
          <wp:inline distT="0" distB="0" distL="0" distR="0" wp14:anchorId="61F14A35" wp14:editId="00B8C633">
            <wp:extent cx="5882640" cy="1935480"/>
            <wp:effectExtent l="0" t="0" r="381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6D74" w:rsidRDefault="00A721EF" w:rsidP="00A721EF">
      <w:pPr>
        <w:jc w:val="both"/>
        <w:rPr>
          <w:sz w:val="24"/>
          <w:szCs w:val="24"/>
        </w:rPr>
      </w:pPr>
      <w:r w:rsidRPr="003009C2">
        <w:rPr>
          <w:sz w:val="24"/>
          <w:szCs w:val="24"/>
        </w:rPr>
        <w:t xml:space="preserve">The </w:t>
      </w:r>
      <w:r w:rsidR="00325934">
        <w:rPr>
          <w:sz w:val="24"/>
          <w:szCs w:val="24"/>
        </w:rPr>
        <w:t xml:space="preserve">government, however, has </w:t>
      </w:r>
      <w:r w:rsidR="006D3360">
        <w:rPr>
          <w:sz w:val="24"/>
          <w:szCs w:val="24"/>
        </w:rPr>
        <w:t xml:space="preserve">chosen to </w:t>
      </w:r>
      <w:r w:rsidR="00325934">
        <w:rPr>
          <w:sz w:val="24"/>
          <w:szCs w:val="24"/>
        </w:rPr>
        <w:t xml:space="preserve">ignore inflation and instead </w:t>
      </w:r>
      <w:r w:rsidR="006D3360">
        <w:rPr>
          <w:sz w:val="24"/>
          <w:szCs w:val="24"/>
        </w:rPr>
        <w:t xml:space="preserve">to advertise the major success of the 2015 reforms in terms of </w:t>
      </w:r>
      <w:r w:rsidR="00325934">
        <w:rPr>
          <w:sz w:val="24"/>
          <w:szCs w:val="24"/>
        </w:rPr>
        <w:t>the “hundreds of</w:t>
      </w:r>
      <w:r w:rsidR="006D3360">
        <w:rPr>
          <w:sz w:val="24"/>
          <w:szCs w:val="24"/>
        </w:rPr>
        <w:t xml:space="preserve"> billions of new hryvna that they have </w:t>
      </w:r>
      <w:r w:rsidR="006D3360">
        <w:rPr>
          <w:sz w:val="24"/>
          <w:szCs w:val="24"/>
        </w:rPr>
        <w:lastRenderedPageBreak/>
        <w:t>put into the hands of</w:t>
      </w:r>
      <w:r w:rsidR="00325934">
        <w:rPr>
          <w:sz w:val="24"/>
          <w:szCs w:val="24"/>
        </w:rPr>
        <w:t xml:space="preserve"> local governments.</w:t>
      </w:r>
      <w:r w:rsidR="006D3360">
        <w:rPr>
          <w:sz w:val="24"/>
          <w:szCs w:val="24"/>
        </w:rPr>
        <w:t>”</w:t>
      </w:r>
      <w:r w:rsidR="006D3360">
        <w:rPr>
          <w:rStyle w:val="FootnoteReference"/>
          <w:sz w:val="24"/>
          <w:szCs w:val="24"/>
        </w:rPr>
        <w:footnoteReference w:id="13"/>
      </w:r>
      <w:r w:rsidR="006D3360">
        <w:rPr>
          <w:sz w:val="24"/>
          <w:szCs w:val="24"/>
        </w:rPr>
        <w:t xml:space="preserve"> </w:t>
      </w:r>
      <w:r w:rsidR="00DB6D74">
        <w:rPr>
          <w:sz w:val="24"/>
          <w:szCs w:val="24"/>
        </w:rPr>
        <w:t xml:space="preserve">We will return to both the reasons for this strategy and the problems with it later on. </w:t>
      </w:r>
    </w:p>
    <w:p w:rsidR="00516C66" w:rsidRDefault="00577463" w:rsidP="00516C66">
      <w:pPr>
        <w:jc w:val="both"/>
        <w:rPr>
          <w:sz w:val="24"/>
          <w:szCs w:val="24"/>
        </w:rPr>
      </w:pPr>
      <w:r>
        <w:rPr>
          <w:sz w:val="24"/>
          <w:szCs w:val="24"/>
        </w:rPr>
        <w:t xml:space="preserve">Curiously, however, </w:t>
      </w:r>
      <w:r w:rsidR="00DB6D74">
        <w:rPr>
          <w:sz w:val="24"/>
          <w:szCs w:val="24"/>
        </w:rPr>
        <w:t>subnational governments themselves have mostly accepted the national government’s claim that their revenue</w:t>
      </w:r>
      <w:r w:rsidR="00A913A8">
        <w:rPr>
          <w:sz w:val="24"/>
          <w:szCs w:val="24"/>
        </w:rPr>
        <w:t>s</w:t>
      </w:r>
      <w:r w:rsidR="00DB6D74">
        <w:rPr>
          <w:sz w:val="24"/>
          <w:szCs w:val="24"/>
        </w:rPr>
        <w:t xml:space="preserve"> have increased dramatically.</w:t>
      </w:r>
      <w:r w:rsidR="00A721EF">
        <w:rPr>
          <w:sz w:val="24"/>
          <w:szCs w:val="24"/>
        </w:rPr>
        <w:t xml:space="preserve"> The reason for this</w:t>
      </w:r>
      <w:r w:rsidR="00B40089">
        <w:rPr>
          <w:sz w:val="24"/>
          <w:szCs w:val="24"/>
        </w:rPr>
        <w:t xml:space="preserve"> can be seen in Table 1</w:t>
      </w:r>
      <w:r>
        <w:rPr>
          <w:sz w:val="24"/>
          <w:szCs w:val="24"/>
        </w:rPr>
        <w:t xml:space="preserve">.  As can be seen from the table, inflation adjusted </w:t>
      </w:r>
      <w:r w:rsidR="00A913A8">
        <w:rPr>
          <w:sz w:val="24"/>
          <w:szCs w:val="24"/>
        </w:rPr>
        <w:t>wages</w:t>
      </w:r>
      <w:r w:rsidR="00B40089">
        <w:rPr>
          <w:sz w:val="24"/>
          <w:szCs w:val="24"/>
        </w:rPr>
        <w:t xml:space="preserve"> </w:t>
      </w:r>
      <w:r w:rsidR="00516C66">
        <w:rPr>
          <w:sz w:val="24"/>
          <w:szCs w:val="24"/>
        </w:rPr>
        <w:t xml:space="preserve">fell substantially </w:t>
      </w:r>
      <w:r>
        <w:rPr>
          <w:sz w:val="24"/>
          <w:szCs w:val="24"/>
        </w:rPr>
        <w:t xml:space="preserve">faster than other expenditure </w:t>
      </w:r>
      <w:r w:rsidR="00B40089">
        <w:rPr>
          <w:sz w:val="24"/>
          <w:szCs w:val="24"/>
        </w:rPr>
        <w:t xml:space="preserve">between 2014 and 2016. </w:t>
      </w:r>
    </w:p>
    <w:p w:rsidR="00A721EF" w:rsidRPr="00DD556B" w:rsidRDefault="00A721EF" w:rsidP="00A721EF">
      <w:pPr>
        <w:pStyle w:val="Heading3"/>
        <w:rPr>
          <w:color w:val="1F4E79" w:themeColor="accent1" w:themeShade="80"/>
        </w:rPr>
      </w:pPr>
      <w:bookmarkStart w:id="5" w:name="_Toc488757964"/>
      <w:r w:rsidRPr="00DD556B">
        <w:rPr>
          <w:color w:val="1F4E79" w:themeColor="accent1" w:themeShade="80"/>
        </w:rPr>
        <w:t>Table 1: Local Government Expenditure by Economic Category 2014-2016 (2016 UAH, bln)</w:t>
      </w:r>
      <w:bookmarkEnd w:id="5"/>
    </w:p>
    <w:tbl>
      <w:tblPr>
        <w:tblW w:w="10999" w:type="dxa"/>
        <w:tblInd w:w="-905" w:type="dxa"/>
        <w:tblLook w:val="04A0" w:firstRow="1" w:lastRow="0" w:firstColumn="1" w:lastColumn="0" w:noHBand="0" w:noVBand="1"/>
      </w:tblPr>
      <w:tblGrid>
        <w:gridCol w:w="1813"/>
        <w:gridCol w:w="772"/>
        <w:gridCol w:w="863"/>
        <w:gridCol w:w="1050"/>
        <w:gridCol w:w="1293"/>
        <w:gridCol w:w="1115"/>
        <w:gridCol w:w="1226"/>
        <w:gridCol w:w="833"/>
        <w:gridCol w:w="1226"/>
        <w:gridCol w:w="940"/>
      </w:tblGrid>
      <w:tr w:rsidR="00A721EF" w:rsidRPr="00DD556B" w:rsidTr="001F6953">
        <w:trPr>
          <w:trHeight w:val="755"/>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rPr>
                <w:rFonts w:ascii="Calibri" w:eastAsia="Times New Roman" w:hAnsi="Calibri" w:cs="Times New Roman"/>
                <w:color w:val="000000"/>
              </w:rPr>
            </w:pPr>
            <w:r w:rsidRPr="00DD556B">
              <w:rPr>
                <w:rFonts w:ascii="Calibri" w:eastAsia="Times New Roman" w:hAnsi="Calibri" w:cs="Times New Roman"/>
                <w:color w:val="000000"/>
              </w:rPr>
              <w:t> </w:t>
            </w:r>
          </w:p>
        </w:tc>
        <w:tc>
          <w:tcPr>
            <w:tcW w:w="772"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Wages</w:t>
            </w:r>
          </w:p>
        </w:tc>
        <w:tc>
          <w:tcPr>
            <w:tcW w:w="863"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Utilities &amp; Energy</w:t>
            </w:r>
          </w:p>
        </w:tc>
        <w:tc>
          <w:tcPr>
            <w:tcW w:w="1050"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Other Operating Costs</w:t>
            </w:r>
          </w:p>
        </w:tc>
        <w:tc>
          <w:tcPr>
            <w:tcW w:w="1161"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Subsidies to institutions</w:t>
            </w:r>
            <w:r>
              <w:rPr>
                <w:rStyle w:val="FootnoteReference"/>
                <w:rFonts w:ascii="Calibri" w:eastAsia="Times New Roman" w:hAnsi="Calibri" w:cs="Times New Roman"/>
                <w:b/>
                <w:bCs/>
                <w:color w:val="000000"/>
                <w:sz w:val="20"/>
                <w:szCs w:val="20"/>
              </w:rPr>
              <w:footnoteReference w:id="14"/>
            </w:r>
          </w:p>
        </w:tc>
        <w:tc>
          <w:tcPr>
            <w:tcW w:w="1115"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 xml:space="preserve">Transfers to individuals </w:t>
            </w:r>
          </w:p>
        </w:tc>
        <w:tc>
          <w:tcPr>
            <w:tcW w:w="1226"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Capital Expenditure</w:t>
            </w:r>
          </w:p>
        </w:tc>
        <w:tc>
          <w:tcPr>
            <w:tcW w:w="833"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B40089" w:rsidP="001F695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Carry Over</w:t>
            </w:r>
          </w:p>
        </w:tc>
        <w:tc>
          <w:tcPr>
            <w:tcW w:w="1226"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Total Expenditure</w:t>
            </w:r>
          </w:p>
        </w:tc>
        <w:tc>
          <w:tcPr>
            <w:tcW w:w="940" w:type="dxa"/>
            <w:tcBorders>
              <w:top w:val="single" w:sz="4" w:space="0" w:color="auto"/>
              <w:left w:val="nil"/>
              <w:bottom w:val="single" w:sz="4" w:space="0" w:color="auto"/>
              <w:right w:val="single" w:sz="4" w:space="0" w:color="auto"/>
            </w:tcBorders>
            <w:shd w:val="clear" w:color="000000" w:fill="F7F7E7"/>
            <w:vAlign w:val="center"/>
            <w:hideMark/>
          </w:tcPr>
          <w:p w:rsidR="00A721EF" w:rsidRPr="00DD556B" w:rsidRDefault="00A721EF" w:rsidP="001F6953">
            <w:pPr>
              <w:spacing w:after="0" w:line="240" w:lineRule="auto"/>
              <w:jc w:val="center"/>
              <w:rPr>
                <w:rFonts w:ascii="Calibri" w:eastAsia="Times New Roman" w:hAnsi="Calibri" w:cs="Times New Roman"/>
                <w:b/>
                <w:bCs/>
                <w:color w:val="000000"/>
                <w:sz w:val="20"/>
                <w:szCs w:val="20"/>
              </w:rPr>
            </w:pPr>
            <w:r w:rsidRPr="00DD556B">
              <w:rPr>
                <w:rFonts w:ascii="Calibri" w:eastAsia="Times New Roman" w:hAnsi="Calibri" w:cs="Times New Roman"/>
                <w:b/>
                <w:bCs/>
                <w:color w:val="000000"/>
                <w:sz w:val="20"/>
                <w:szCs w:val="20"/>
              </w:rPr>
              <w:t>Total Revenue</w:t>
            </w:r>
          </w:p>
        </w:tc>
      </w:tr>
      <w:tr w:rsidR="00A721EF" w:rsidRPr="00DD556B" w:rsidTr="001F6953">
        <w:trPr>
          <w:trHeight w:val="288"/>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2014</w:t>
            </w:r>
          </w:p>
        </w:tc>
        <w:tc>
          <w:tcPr>
            <w:tcW w:w="772"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142.3</w:t>
            </w:r>
          </w:p>
        </w:tc>
        <w:tc>
          <w:tcPr>
            <w:tcW w:w="86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17.4</w:t>
            </w:r>
          </w:p>
        </w:tc>
        <w:tc>
          <w:tcPr>
            <w:tcW w:w="105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48.1</w:t>
            </w:r>
          </w:p>
        </w:tc>
        <w:tc>
          <w:tcPr>
            <w:tcW w:w="1161"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34.0</w:t>
            </w:r>
          </w:p>
        </w:tc>
        <w:tc>
          <w:tcPr>
            <w:tcW w:w="1115"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78.8</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24.1</w:t>
            </w:r>
          </w:p>
        </w:tc>
        <w:tc>
          <w:tcPr>
            <w:tcW w:w="83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8.5</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353.1</w:t>
            </w:r>
          </w:p>
        </w:tc>
        <w:tc>
          <w:tcPr>
            <w:tcW w:w="94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353.1</w:t>
            </w:r>
          </w:p>
        </w:tc>
      </w:tr>
      <w:tr w:rsidR="00A721EF" w:rsidRPr="00DD556B" w:rsidTr="001F6953">
        <w:trPr>
          <w:trHeight w:val="288"/>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2015</w:t>
            </w:r>
          </w:p>
        </w:tc>
        <w:tc>
          <w:tcPr>
            <w:tcW w:w="772"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118.8</w:t>
            </w:r>
          </w:p>
        </w:tc>
        <w:tc>
          <w:tcPr>
            <w:tcW w:w="86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18.5</w:t>
            </w:r>
          </w:p>
        </w:tc>
        <w:tc>
          <w:tcPr>
            <w:tcW w:w="105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44.2</w:t>
            </w:r>
          </w:p>
        </w:tc>
        <w:tc>
          <w:tcPr>
            <w:tcW w:w="1161"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20.6</w:t>
            </w:r>
          </w:p>
        </w:tc>
        <w:tc>
          <w:tcPr>
            <w:tcW w:w="1115"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74.6</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38.0</w:t>
            </w:r>
          </w:p>
        </w:tc>
        <w:tc>
          <w:tcPr>
            <w:tcW w:w="83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14.2</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328.9</w:t>
            </w:r>
          </w:p>
        </w:tc>
        <w:tc>
          <w:tcPr>
            <w:tcW w:w="94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326.5</w:t>
            </w:r>
          </w:p>
        </w:tc>
      </w:tr>
      <w:tr w:rsidR="00A721EF" w:rsidRPr="00DD556B" w:rsidTr="001F6953">
        <w:trPr>
          <w:trHeight w:val="288"/>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2016</w:t>
            </w:r>
          </w:p>
        </w:tc>
        <w:tc>
          <w:tcPr>
            <w:tcW w:w="772"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115.4</w:t>
            </w:r>
          </w:p>
        </w:tc>
        <w:tc>
          <w:tcPr>
            <w:tcW w:w="86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17.6</w:t>
            </w:r>
          </w:p>
        </w:tc>
        <w:tc>
          <w:tcPr>
            <w:tcW w:w="105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44.2</w:t>
            </w:r>
          </w:p>
        </w:tc>
        <w:tc>
          <w:tcPr>
            <w:tcW w:w="1161"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19.1</w:t>
            </w:r>
          </w:p>
        </w:tc>
        <w:tc>
          <w:tcPr>
            <w:tcW w:w="1115"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99.0</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52.5</w:t>
            </w:r>
          </w:p>
        </w:tc>
        <w:tc>
          <w:tcPr>
            <w:tcW w:w="83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15.4</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363.2</w:t>
            </w:r>
          </w:p>
        </w:tc>
        <w:tc>
          <w:tcPr>
            <w:tcW w:w="94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363.2</w:t>
            </w:r>
          </w:p>
        </w:tc>
      </w:tr>
      <w:tr w:rsidR="00A721EF" w:rsidRPr="00DD556B" w:rsidTr="001F6953">
        <w:trPr>
          <w:trHeight w:val="288"/>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2015 as % of 2014</w:t>
            </w:r>
          </w:p>
        </w:tc>
        <w:tc>
          <w:tcPr>
            <w:tcW w:w="772"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83%</w:t>
            </w:r>
          </w:p>
        </w:tc>
        <w:tc>
          <w:tcPr>
            <w:tcW w:w="86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106%</w:t>
            </w:r>
          </w:p>
        </w:tc>
        <w:tc>
          <w:tcPr>
            <w:tcW w:w="105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92%</w:t>
            </w:r>
          </w:p>
        </w:tc>
        <w:tc>
          <w:tcPr>
            <w:tcW w:w="1161"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61%</w:t>
            </w:r>
          </w:p>
        </w:tc>
        <w:tc>
          <w:tcPr>
            <w:tcW w:w="1115"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95%</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158%</w:t>
            </w:r>
          </w:p>
        </w:tc>
        <w:tc>
          <w:tcPr>
            <w:tcW w:w="83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color w:val="000000"/>
                <w:sz w:val="20"/>
                <w:szCs w:val="20"/>
              </w:rPr>
            </w:pPr>
            <w:r w:rsidRPr="00DD556B">
              <w:rPr>
                <w:rFonts w:eastAsia="Times New Roman" w:cs="Times New Roman"/>
                <w:color w:val="000000"/>
                <w:sz w:val="20"/>
                <w:szCs w:val="20"/>
              </w:rPr>
              <w:t>167%</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93%</w:t>
            </w:r>
          </w:p>
        </w:tc>
        <w:tc>
          <w:tcPr>
            <w:tcW w:w="94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92%</w:t>
            </w:r>
          </w:p>
        </w:tc>
      </w:tr>
      <w:tr w:rsidR="00A721EF" w:rsidRPr="00DD556B" w:rsidTr="001F6953">
        <w:trPr>
          <w:trHeight w:val="288"/>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2016 as % of 2014</w:t>
            </w:r>
          </w:p>
        </w:tc>
        <w:tc>
          <w:tcPr>
            <w:tcW w:w="772"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81%</w:t>
            </w:r>
          </w:p>
        </w:tc>
        <w:tc>
          <w:tcPr>
            <w:tcW w:w="86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101%</w:t>
            </w:r>
          </w:p>
        </w:tc>
        <w:tc>
          <w:tcPr>
            <w:tcW w:w="105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92%</w:t>
            </w:r>
          </w:p>
        </w:tc>
        <w:tc>
          <w:tcPr>
            <w:tcW w:w="1161"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56%</w:t>
            </w:r>
          </w:p>
        </w:tc>
        <w:tc>
          <w:tcPr>
            <w:tcW w:w="1115"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126%</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218%</w:t>
            </w:r>
          </w:p>
        </w:tc>
        <w:tc>
          <w:tcPr>
            <w:tcW w:w="833"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182%</w:t>
            </w:r>
          </w:p>
        </w:tc>
        <w:tc>
          <w:tcPr>
            <w:tcW w:w="1226"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103%</w:t>
            </w:r>
          </w:p>
        </w:tc>
        <w:tc>
          <w:tcPr>
            <w:tcW w:w="940" w:type="dxa"/>
            <w:tcBorders>
              <w:top w:val="nil"/>
              <w:left w:val="nil"/>
              <w:bottom w:val="single" w:sz="4" w:space="0" w:color="auto"/>
              <w:right w:val="single" w:sz="4" w:space="0" w:color="auto"/>
            </w:tcBorders>
            <w:shd w:val="clear" w:color="auto" w:fill="auto"/>
            <w:noWrap/>
            <w:vAlign w:val="bottom"/>
            <w:hideMark/>
          </w:tcPr>
          <w:p w:rsidR="00A721EF" w:rsidRPr="00DD556B" w:rsidRDefault="00A721EF" w:rsidP="001F6953">
            <w:pPr>
              <w:spacing w:after="0" w:line="240" w:lineRule="auto"/>
              <w:jc w:val="right"/>
              <w:rPr>
                <w:rFonts w:eastAsia="Times New Roman" w:cs="Times New Roman"/>
                <w:b/>
                <w:bCs/>
                <w:color w:val="000000"/>
                <w:sz w:val="20"/>
                <w:szCs w:val="20"/>
              </w:rPr>
            </w:pPr>
            <w:r w:rsidRPr="00DD556B">
              <w:rPr>
                <w:rFonts w:eastAsia="Times New Roman" w:cs="Times New Roman"/>
                <w:b/>
                <w:bCs/>
                <w:color w:val="000000"/>
                <w:sz w:val="20"/>
                <w:szCs w:val="20"/>
              </w:rPr>
              <w:t>103%</w:t>
            </w:r>
          </w:p>
        </w:tc>
      </w:tr>
    </w:tbl>
    <w:p w:rsidR="00A721EF" w:rsidRPr="00DD556B" w:rsidRDefault="00A721EF" w:rsidP="00A721EF">
      <w:pPr>
        <w:spacing w:after="0"/>
        <w:jc w:val="both"/>
        <w:rPr>
          <w:sz w:val="24"/>
          <w:szCs w:val="24"/>
        </w:rPr>
      </w:pPr>
    </w:p>
    <w:p w:rsidR="003C0557" w:rsidRDefault="00577463" w:rsidP="003C0557">
      <w:pPr>
        <w:spacing w:after="0"/>
        <w:jc w:val="both"/>
        <w:rPr>
          <w:sz w:val="24"/>
          <w:szCs w:val="24"/>
        </w:rPr>
      </w:pPr>
      <w:r>
        <w:rPr>
          <w:sz w:val="24"/>
          <w:szCs w:val="24"/>
        </w:rPr>
        <w:t xml:space="preserve">The reason for this is that </w:t>
      </w:r>
      <w:r w:rsidR="00C40BEB">
        <w:rPr>
          <w:sz w:val="24"/>
          <w:szCs w:val="24"/>
        </w:rPr>
        <w:t xml:space="preserve">the national government did </w:t>
      </w:r>
      <w:r>
        <w:rPr>
          <w:sz w:val="24"/>
          <w:szCs w:val="24"/>
        </w:rPr>
        <w:t>not increase public sector wage rates</w:t>
      </w:r>
      <w:r w:rsidR="00C40BEB">
        <w:rPr>
          <w:sz w:val="24"/>
          <w:szCs w:val="24"/>
        </w:rPr>
        <w:t xml:space="preserve"> in line with inflation.  And falling wages increased the operating surp</w:t>
      </w:r>
      <w:r>
        <w:rPr>
          <w:sz w:val="24"/>
          <w:szCs w:val="24"/>
        </w:rPr>
        <w:t>luses of subnational government</w:t>
      </w:r>
      <w:r w:rsidR="00C40BEB">
        <w:rPr>
          <w:sz w:val="24"/>
          <w:szCs w:val="24"/>
        </w:rPr>
        <w:t xml:space="preserve">, increases that </w:t>
      </w:r>
      <w:r>
        <w:rPr>
          <w:sz w:val="24"/>
          <w:szCs w:val="24"/>
        </w:rPr>
        <w:t>subnational governments then used to finance</w:t>
      </w:r>
      <w:r w:rsidR="00C40BEB">
        <w:rPr>
          <w:sz w:val="24"/>
          <w:szCs w:val="24"/>
        </w:rPr>
        <w:t xml:space="preserve"> a dramatic rise in both capital expenditure</w:t>
      </w:r>
      <w:r>
        <w:rPr>
          <w:sz w:val="24"/>
          <w:szCs w:val="24"/>
        </w:rPr>
        <w:t>s</w:t>
      </w:r>
      <w:r w:rsidR="00C40BEB">
        <w:rPr>
          <w:sz w:val="24"/>
          <w:szCs w:val="24"/>
        </w:rPr>
        <w:t xml:space="preserve"> and year-end carryover</w:t>
      </w:r>
      <w:r w:rsidR="00C40BEB" w:rsidRPr="00516C66">
        <w:rPr>
          <w:sz w:val="24"/>
          <w:szCs w:val="24"/>
        </w:rPr>
        <w:t xml:space="preserve">. </w:t>
      </w:r>
      <w:r>
        <w:rPr>
          <w:sz w:val="24"/>
          <w:szCs w:val="24"/>
        </w:rPr>
        <w:t xml:space="preserve">So while the total revenues of revenue of subnational governments did not increase, their disposable income did. And this rise in disposable income largely </w:t>
      </w:r>
      <w:r w:rsidR="00C40BEB">
        <w:rPr>
          <w:sz w:val="24"/>
          <w:szCs w:val="24"/>
        </w:rPr>
        <w:t>explain</w:t>
      </w:r>
      <w:r w:rsidR="003C0557">
        <w:rPr>
          <w:sz w:val="24"/>
          <w:szCs w:val="24"/>
        </w:rPr>
        <w:t>s</w:t>
      </w:r>
      <w:r w:rsidR="00C40BEB">
        <w:rPr>
          <w:sz w:val="24"/>
          <w:szCs w:val="24"/>
        </w:rPr>
        <w:t xml:space="preserve"> why subnational governments accepted the national government</w:t>
      </w:r>
      <w:r>
        <w:rPr>
          <w:sz w:val="24"/>
          <w:szCs w:val="24"/>
        </w:rPr>
        <w:t>’</w:t>
      </w:r>
      <w:r w:rsidR="00C40BEB">
        <w:rPr>
          <w:sz w:val="24"/>
          <w:szCs w:val="24"/>
        </w:rPr>
        <w:t xml:space="preserve">s narrative about </w:t>
      </w:r>
      <w:r>
        <w:rPr>
          <w:sz w:val="24"/>
          <w:szCs w:val="24"/>
        </w:rPr>
        <w:t>new money.</w:t>
      </w:r>
      <w:r w:rsidR="00C40BEB" w:rsidRPr="007C1419">
        <w:rPr>
          <w:rStyle w:val="FootnoteReference"/>
          <w:sz w:val="24"/>
          <w:szCs w:val="24"/>
        </w:rPr>
        <w:footnoteReference w:id="15"/>
      </w:r>
    </w:p>
    <w:p w:rsidR="003C0557" w:rsidRDefault="003C0557" w:rsidP="003C0557">
      <w:pPr>
        <w:spacing w:after="0"/>
        <w:jc w:val="both"/>
        <w:rPr>
          <w:sz w:val="24"/>
          <w:szCs w:val="24"/>
        </w:rPr>
      </w:pPr>
    </w:p>
    <w:p w:rsidR="00E376BB" w:rsidRDefault="003C0557" w:rsidP="00E376BB">
      <w:pPr>
        <w:spacing w:after="0"/>
        <w:jc w:val="both"/>
        <w:rPr>
          <w:sz w:val="24"/>
          <w:szCs w:val="24"/>
        </w:rPr>
      </w:pPr>
      <w:r>
        <w:rPr>
          <w:sz w:val="24"/>
          <w:szCs w:val="24"/>
        </w:rPr>
        <w:t>The “new money” narrative, has in turn served to obscure</w:t>
      </w:r>
      <w:r w:rsidR="002C4E05">
        <w:rPr>
          <w:sz w:val="24"/>
          <w:szCs w:val="24"/>
        </w:rPr>
        <w:t xml:space="preserve"> the fact that the reforms have produced very substantial changes in the relative power and importance of subnational governments. </w:t>
      </w:r>
      <w:r>
        <w:rPr>
          <w:sz w:val="24"/>
          <w:szCs w:val="24"/>
        </w:rPr>
        <w:t xml:space="preserve"> </w:t>
      </w:r>
      <w:r w:rsidR="007E02A9">
        <w:rPr>
          <w:sz w:val="24"/>
          <w:szCs w:val="24"/>
        </w:rPr>
        <w:t xml:space="preserve">As can be seen in </w:t>
      </w:r>
      <w:r w:rsidR="00E376BB" w:rsidRPr="00CD4073">
        <w:rPr>
          <w:sz w:val="24"/>
          <w:szCs w:val="24"/>
        </w:rPr>
        <w:t xml:space="preserve">Figure </w:t>
      </w:r>
      <w:r w:rsidR="00E376BB">
        <w:rPr>
          <w:sz w:val="24"/>
          <w:szCs w:val="24"/>
        </w:rPr>
        <w:t>4</w:t>
      </w:r>
      <w:r>
        <w:rPr>
          <w:sz w:val="24"/>
          <w:szCs w:val="24"/>
        </w:rPr>
        <w:t xml:space="preserve"> below</w:t>
      </w:r>
      <w:r w:rsidR="007E02A9">
        <w:rPr>
          <w:sz w:val="24"/>
          <w:szCs w:val="24"/>
        </w:rPr>
        <w:t>, ob</w:t>
      </w:r>
      <w:r w:rsidR="00E376BB">
        <w:rPr>
          <w:sz w:val="24"/>
          <w:szCs w:val="24"/>
        </w:rPr>
        <w:t xml:space="preserve">lasts </w:t>
      </w:r>
      <w:r w:rsidR="007E02A9">
        <w:rPr>
          <w:sz w:val="24"/>
          <w:szCs w:val="24"/>
        </w:rPr>
        <w:t>have been the biggest losers. T</w:t>
      </w:r>
      <w:r w:rsidR="00E376BB">
        <w:rPr>
          <w:sz w:val="24"/>
          <w:szCs w:val="24"/>
        </w:rPr>
        <w:t xml:space="preserve">heir </w:t>
      </w:r>
      <w:r w:rsidR="00E376BB" w:rsidRPr="00CD4073">
        <w:rPr>
          <w:sz w:val="24"/>
          <w:szCs w:val="24"/>
        </w:rPr>
        <w:t>revenue</w:t>
      </w:r>
      <w:r w:rsidR="00E376BB">
        <w:rPr>
          <w:sz w:val="24"/>
          <w:szCs w:val="24"/>
        </w:rPr>
        <w:t>s</w:t>
      </w:r>
      <w:r w:rsidR="00E376BB" w:rsidRPr="00CD4073">
        <w:rPr>
          <w:sz w:val="24"/>
          <w:szCs w:val="24"/>
        </w:rPr>
        <w:t xml:space="preserve"> fell</w:t>
      </w:r>
      <w:r w:rsidR="00E376BB">
        <w:rPr>
          <w:sz w:val="24"/>
          <w:szCs w:val="24"/>
        </w:rPr>
        <w:t xml:space="preserve"> from 73.4 </w:t>
      </w:r>
      <w:r w:rsidR="00E376BB" w:rsidRPr="00CD4073">
        <w:rPr>
          <w:sz w:val="24"/>
          <w:szCs w:val="24"/>
        </w:rPr>
        <w:t>to 53.1</w:t>
      </w:r>
      <w:r w:rsidR="00E376BB">
        <w:rPr>
          <w:sz w:val="24"/>
          <w:szCs w:val="24"/>
        </w:rPr>
        <w:t xml:space="preserve"> billion UAH between 2014 and </w:t>
      </w:r>
      <w:r w:rsidR="00E376BB" w:rsidRPr="00CD4073">
        <w:rPr>
          <w:sz w:val="24"/>
          <w:szCs w:val="24"/>
        </w:rPr>
        <w:t xml:space="preserve">2016, a decline of 27%. </w:t>
      </w:r>
      <w:r>
        <w:rPr>
          <w:sz w:val="24"/>
          <w:szCs w:val="24"/>
        </w:rPr>
        <w:t>C</w:t>
      </w:r>
      <w:r w:rsidR="002C4E05">
        <w:rPr>
          <w:sz w:val="24"/>
          <w:szCs w:val="24"/>
        </w:rPr>
        <w:t>ities (COS)</w:t>
      </w:r>
      <w:r w:rsidR="000B0941">
        <w:rPr>
          <w:sz w:val="24"/>
          <w:szCs w:val="24"/>
        </w:rPr>
        <w:t xml:space="preserve"> –where the 48% of the population now lives--</w:t>
      </w:r>
      <w:r w:rsidR="002C4E05">
        <w:rPr>
          <w:sz w:val="24"/>
          <w:szCs w:val="24"/>
        </w:rPr>
        <w:t xml:space="preserve"> have been the biggest winners. Their revenues increased by 20 bln UAH (14%) between 2014 and 2016, partially because of the way the new </w:t>
      </w:r>
      <w:r w:rsidR="002C4E05">
        <w:rPr>
          <w:sz w:val="24"/>
          <w:szCs w:val="24"/>
        </w:rPr>
        <w:lastRenderedPageBreak/>
        <w:t>transfer system worked, and partially because some health and education functions were shifted to them from Oblasts.</w:t>
      </w:r>
    </w:p>
    <w:p w:rsidR="00E376BB" w:rsidRPr="007C1419" w:rsidRDefault="00E376BB" w:rsidP="007E02A9">
      <w:pPr>
        <w:spacing w:after="0"/>
        <w:jc w:val="both"/>
        <w:rPr>
          <w:sz w:val="24"/>
          <w:szCs w:val="24"/>
        </w:rPr>
      </w:pPr>
    </w:p>
    <w:p w:rsidR="00E376BB" w:rsidRPr="00AD0580" w:rsidRDefault="00E376BB" w:rsidP="00E376BB">
      <w:pPr>
        <w:pStyle w:val="Heading3"/>
        <w:rPr>
          <w:color w:val="1F4E79" w:themeColor="accent1" w:themeShade="80"/>
        </w:rPr>
      </w:pPr>
      <w:bookmarkStart w:id="6" w:name="_Toc488757965"/>
      <w:r>
        <w:rPr>
          <w:color w:val="1F4E79" w:themeColor="accent1" w:themeShade="80"/>
        </w:rPr>
        <w:t xml:space="preserve">Figure 4: </w:t>
      </w:r>
      <w:r w:rsidRPr="00AD0580">
        <w:rPr>
          <w:color w:val="1F4E79" w:themeColor="accent1" w:themeShade="80"/>
        </w:rPr>
        <w:t xml:space="preserve">Composition </w:t>
      </w:r>
      <w:r>
        <w:rPr>
          <w:color w:val="1F4E79" w:themeColor="accent1" w:themeShade="80"/>
        </w:rPr>
        <w:t>of Local Government Revenue</w:t>
      </w:r>
      <w:r w:rsidRPr="00AD0580">
        <w:rPr>
          <w:color w:val="1F4E79" w:themeColor="accent1" w:themeShade="80"/>
        </w:rPr>
        <w:t xml:space="preserve"> by Level </w:t>
      </w:r>
      <w:r>
        <w:rPr>
          <w:color w:val="1F4E79" w:themeColor="accent1" w:themeShade="80"/>
        </w:rPr>
        <w:t>2014-16 (2016 UAH, bln</w:t>
      </w:r>
      <w:r w:rsidRPr="00AD0580">
        <w:rPr>
          <w:color w:val="1F4E79" w:themeColor="accent1" w:themeShade="80"/>
        </w:rPr>
        <w:t>)</w:t>
      </w:r>
      <w:bookmarkEnd w:id="6"/>
    </w:p>
    <w:p w:rsidR="00E376BB" w:rsidRDefault="00E376BB" w:rsidP="00E376BB">
      <w:pPr>
        <w:spacing w:after="0"/>
        <w:jc w:val="both"/>
        <w:rPr>
          <w:sz w:val="24"/>
          <w:szCs w:val="24"/>
        </w:rPr>
      </w:pPr>
      <w:r>
        <w:rPr>
          <w:noProof/>
        </w:rPr>
        <w:drawing>
          <wp:inline distT="0" distB="0" distL="0" distR="0" wp14:anchorId="76C5884D" wp14:editId="130ADF85">
            <wp:extent cx="5928360" cy="2345690"/>
            <wp:effectExtent l="0" t="0" r="1524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02A9" w:rsidRDefault="007E02A9" w:rsidP="00E376BB">
      <w:pPr>
        <w:spacing w:after="0"/>
        <w:jc w:val="both"/>
        <w:rPr>
          <w:sz w:val="24"/>
          <w:szCs w:val="24"/>
        </w:rPr>
      </w:pPr>
    </w:p>
    <w:p w:rsidR="008F25D7" w:rsidRDefault="00516C66" w:rsidP="008F25D7">
      <w:pPr>
        <w:jc w:val="both"/>
        <w:rPr>
          <w:sz w:val="24"/>
          <w:szCs w:val="24"/>
        </w:rPr>
      </w:pPr>
      <w:r>
        <w:rPr>
          <w:sz w:val="24"/>
          <w:szCs w:val="24"/>
        </w:rPr>
        <w:t>Meanwhile, r</w:t>
      </w:r>
      <w:r w:rsidR="003C0557">
        <w:rPr>
          <w:sz w:val="24"/>
          <w:szCs w:val="24"/>
        </w:rPr>
        <w:t>ayon revenue</w:t>
      </w:r>
      <w:r w:rsidR="008F25D7">
        <w:rPr>
          <w:sz w:val="24"/>
          <w:szCs w:val="24"/>
        </w:rPr>
        <w:t xml:space="preserve"> fell</w:t>
      </w:r>
      <w:r w:rsidR="008F25D7" w:rsidRPr="00CD4073">
        <w:rPr>
          <w:sz w:val="24"/>
          <w:szCs w:val="24"/>
        </w:rPr>
        <w:t xml:space="preserve"> in 2015 b</w:t>
      </w:r>
      <w:r w:rsidR="002142F7">
        <w:rPr>
          <w:sz w:val="24"/>
          <w:szCs w:val="24"/>
        </w:rPr>
        <w:t>efore returning to their 2014 levels in 2016.</w:t>
      </w:r>
      <w:r w:rsidR="008F25D7" w:rsidRPr="00CD4073">
        <w:rPr>
          <w:sz w:val="24"/>
          <w:szCs w:val="24"/>
        </w:rPr>
        <w:t xml:space="preserve"> </w:t>
      </w:r>
      <w:r>
        <w:rPr>
          <w:sz w:val="24"/>
          <w:szCs w:val="24"/>
        </w:rPr>
        <w:t xml:space="preserve">All of this 2016 </w:t>
      </w:r>
      <w:r w:rsidR="008F25D7" w:rsidRPr="00CD4073">
        <w:rPr>
          <w:sz w:val="24"/>
          <w:szCs w:val="24"/>
        </w:rPr>
        <w:t>growth</w:t>
      </w:r>
      <w:r>
        <w:rPr>
          <w:sz w:val="24"/>
          <w:szCs w:val="24"/>
        </w:rPr>
        <w:t>, however</w:t>
      </w:r>
      <w:r w:rsidR="003C0557">
        <w:rPr>
          <w:sz w:val="24"/>
          <w:szCs w:val="24"/>
        </w:rPr>
        <w:t xml:space="preserve"> came from an </w:t>
      </w:r>
      <w:r w:rsidR="008F25D7">
        <w:rPr>
          <w:sz w:val="24"/>
          <w:szCs w:val="24"/>
        </w:rPr>
        <w:t>increase in Transfer Payments</w:t>
      </w:r>
      <w:r w:rsidR="002142F7">
        <w:rPr>
          <w:sz w:val="24"/>
          <w:szCs w:val="24"/>
        </w:rPr>
        <w:t xml:space="preserve"> to Individuals</w:t>
      </w:r>
      <w:r w:rsidR="002C4E05">
        <w:rPr>
          <w:sz w:val="24"/>
          <w:szCs w:val="24"/>
        </w:rPr>
        <w:t xml:space="preserve"> </w:t>
      </w:r>
      <w:r w:rsidR="003C0557">
        <w:rPr>
          <w:sz w:val="24"/>
          <w:szCs w:val="24"/>
        </w:rPr>
        <w:t>(</w:t>
      </w:r>
      <w:r w:rsidR="002C4E05">
        <w:rPr>
          <w:sz w:val="24"/>
          <w:szCs w:val="24"/>
        </w:rPr>
        <w:t>that can be seen in Table 1</w:t>
      </w:r>
      <w:r w:rsidR="003C0557">
        <w:rPr>
          <w:sz w:val="24"/>
          <w:szCs w:val="24"/>
        </w:rPr>
        <w:t>)</w:t>
      </w:r>
      <w:r w:rsidR="002142F7">
        <w:rPr>
          <w:sz w:val="24"/>
          <w:szCs w:val="24"/>
        </w:rPr>
        <w:t>. These are</w:t>
      </w:r>
      <w:r w:rsidR="008F25D7">
        <w:rPr>
          <w:sz w:val="24"/>
          <w:szCs w:val="24"/>
        </w:rPr>
        <w:t xml:space="preserve"> national government </w:t>
      </w:r>
      <w:r w:rsidR="002142F7">
        <w:rPr>
          <w:sz w:val="24"/>
          <w:szCs w:val="24"/>
        </w:rPr>
        <w:t>t</w:t>
      </w:r>
      <w:r w:rsidR="003C0557">
        <w:rPr>
          <w:sz w:val="24"/>
          <w:szCs w:val="24"/>
        </w:rPr>
        <w:t>ransfers that flow through subnational</w:t>
      </w:r>
      <w:r w:rsidR="008F25D7">
        <w:rPr>
          <w:sz w:val="24"/>
          <w:szCs w:val="24"/>
        </w:rPr>
        <w:t xml:space="preserve"> budgets, but are not controlled by them in any </w:t>
      </w:r>
      <w:r w:rsidR="002C4E05">
        <w:rPr>
          <w:sz w:val="24"/>
          <w:szCs w:val="24"/>
        </w:rPr>
        <w:t xml:space="preserve">meaningfully </w:t>
      </w:r>
      <w:r w:rsidR="008F25D7">
        <w:rPr>
          <w:sz w:val="24"/>
          <w:szCs w:val="24"/>
        </w:rPr>
        <w:t>way. As a result,</w:t>
      </w:r>
      <w:r w:rsidR="002142F7">
        <w:rPr>
          <w:sz w:val="24"/>
          <w:szCs w:val="24"/>
        </w:rPr>
        <w:t xml:space="preserve"> and as with oblasts, the 201</w:t>
      </w:r>
      <w:r w:rsidR="002C4E05">
        <w:rPr>
          <w:sz w:val="24"/>
          <w:szCs w:val="24"/>
        </w:rPr>
        <w:t xml:space="preserve">5 reforms have </w:t>
      </w:r>
      <w:r w:rsidR="002142F7">
        <w:rPr>
          <w:sz w:val="24"/>
          <w:szCs w:val="24"/>
        </w:rPr>
        <w:t>reduced the</w:t>
      </w:r>
      <w:r w:rsidR="002C4E05">
        <w:rPr>
          <w:sz w:val="24"/>
          <w:szCs w:val="24"/>
        </w:rPr>
        <w:t xml:space="preserve"> importance of rayons </w:t>
      </w:r>
      <w:r w:rsidR="002142F7">
        <w:rPr>
          <w:sz w:val="24"/>
          <w:szCs w:val="24"/>
        </w:rPr>
        <w:t>in the</w:t>
      </w:r>
      <w:r w:rsidR="008F25D7">
        <w:rPr>
          <w:sz w:val="24"/>
          <w:szCs w:val="24"/>
        </w:rPr>
        <w:t xml:space="preserve"> provi</w:t>
      </w:r>
      <w:r w:rsidR="002142F7">
        <w:rPr>
          <w:sz w:val="24"/>
          <w:szCs w:val="24"/>
        </w:rPr>
        <w:t xml:space="preserve">sion </w:t>
      </w:r>
      <w:r w:rsidR="008F25D7">
        <w:rPr>
          <w:sz w:val="24"/>
          <w:szCs w:val="24"/>
        </w:rPr>
        <w:t>of public services</w:t>
      </w:r>
      <w:r w:rsidR="002142F7">
        <w:rPr>
          <w:sz w:val="24"/>
          <w:szCs w:val="24"/>
        </w:rPr>
        <w:t xml:space="preserve">. </w:t>
      </w:r>
      <w:r w:rsidR="008F25D7">
        <w:rPr>
          <w:sz w:val="24"/>
          <w:szCs w:val="24"/>
        </w:rPr>
        <w:t xml:space="preserve"> </w:t>
      </w:r>
      <w:r w:rsidR="002142F7">
        <w:rPr>
          <w:sz w:val="24"/>
          <w:szCs w:val="24"/>
        </w:rPr>
        <w:t>Like rayons, the revenues of g</w:t>
      </w:r>
      <w:r w:rsidR="008F25D7" w:rsidRPr="00CB0E65">
        <w:rPr>
          <w:sz w:val="24"/>
          <w:szCs w:val="24"/>
        </w:rPr>
        <w:t xml:space="preserve">romada fell </w:t>
      </w:r>
      <w:r w:rsidR="002142F7">
        <w:rPr>
          <w:sz w:val="24"/>
          <w:szCs w:val="24"/>
        </w:rPr>
        <w:t>significantly in</w:t>
      </w:r>
      <w:r w:rsidR="008F25D7" w:rsidRPr="00CB0E65">
        <w:rPr>
          <w:sz w:val="24"/>
          <w:szCs w:val="24"/>
        </w:rPr>
        <w:t xml:space="preserve"> 2015 </w:t>
      </w:r>
      <w:r w:rsidR="002142F7">
        <w:rPr>
          <w:sz w:val="24"/>
          <w:szCs w:val="24"/>
        </w:rPr>
        <w:t xml:space="preserve">before increasing to slightly above their 2014 levels in 2016. </w:t>
      </w:r>
      <w:r w:rsidR="00E85635">
        <w:rPr>
          <w:sz w:val="24"/>
          <w:szCs w:val="24"/>
        </w:rPr>
        <w:t>But what is completely new,</w:t>
      </w:r>
      <w:r w:rsidR="00615E0A">
        <w:rPr>
          <w:sz w:val="24"/>
          <w:szCs w:val="24"/>
        </w:rPr>
        <w:t xml:space="preserve"> is the 7 bln hryvna</w:t>
      </w:r>
      <w:r w:rsidR="00E85635">
        <w:rPr>
          <w:sz w:val="24"/>
          <w:szCs w:val="24"/>
        </w:rPr>
        <w:t xml:space="preserve"> (1.7% of all public revenue)</w:t>
      </w:r>
      <w:r w:rsidR="00E26783">
        <w:rPr>
          <w:sz w:val="24"/>
          <w:szCs w:val="24"/>
        </w:rPr>
        <w:t xml:space="preserve"> that is</w:t>
      </w:r>
      <w:r w:rsidR="00615E0A">
        <w:rPr>
          <w:sz w:val="24"/>
          <w:szCs w:val="24"/>
        </w:rPr>
        <w:t xml:space="preserve"> now going to t</w:t>
      </w:r>
      <w:r w:rsidR="008F25D7" w:rsidRPr="00CB0E65">
        <w:rPr>
          <w:sz w:val="24"/>
          <w:szCs w:val="24"/>
        </w:rPr>
        <w:t>he 15</w:t>
      </w:r>
      <w:r w:rsidR="008F25D7">
        <w:rPr>
          <w:sz w:val="24"/>
          <w:szCs w:val="24"/>
        </w:rPr>
        <w:t>9</w:t>
      </w:r>
      <w:r w:rsidR="008F25D7" w:rsidRPr="00CB0E65">
        <w:rPr>
          <w:sz w:val="24"/>
          <w:szCs w:val="24"/>
        </w:rPr>
        <w:t xml:space="preserve"> A</w:t>
      </w:r>
      <w:r w:rsidR="00E85635">
        <w:rPr>
          <w:sz w:val="24"/>
          <w:szCs w:val="24"/>
        </w:rPr>
        <w:t>malgamated Gromada (AGs)</w:t>
      </w:r>
      <w:r w:rsidR="00EF59EF">
        <w:rPr>
          <w:sz w:val="24"/>
          <w:szCs w:val="24"/>
        </w:rPr>
        <w:t xml:space="preserve"> that</w:t>
      </w:r>
      <w:r w:rsidR="003C0557">
        <w:rPr>
          <w:sz w:val="24"/>
          <w:szCs w:val="24"/>
        </w:rPr>
        <w:t xml:space="preserve"> were formed after the passage of the law on voluntary amalgamation in late 2014</w:t>
      </w:r>
      <w:r w:rsidR="00E85635">
        <w:rPr>
          <w:rStyle w:val="FootnoteReference"/>
          <w:sz w:val="24"/>
          <w:szCs w:val="24"/>
        </w:rPr>
        <w:footnoteReference w:id="16"/>
      </w:r>
      <w:r w:rsidR="003C0557">
        <w:rPr>
          <w:sz w:val="24"/>
          <w:szCs w:val="24"/>
        </w:rPr>
        <w:t xml:space="preserve">. </w:t>
      </w:r>
    </w:p>
    <w:p w:rsidR="00E85635" w:rsidRDefault="00E75D1E" w:rsidP="00E85635">
      <w:pPr>
        <w:jc w:val="both"/>
        <w:rPr>
          <w:sz w:val="24"/>
          <w:szCs w:val="24"/>
        </w:rPr>
      </w:pPr>
      <w:r>
        <w:rPr>
          <w:sz w:val="24"/>
          <w:szCs w:val="24"/>
        </w:rPr>
        <w:t>The</w:t>
      </w:r>
      <w:r w:rsidR="00E26783">
        <w:rPr>
          <w:sz w:val="24"/>
          <w:szCs w:val="24"/>
        </w:rPr>
        <w:t xml:space="preserve"> </w:t>
      </w:r>
      <w:r>
        <w:rPr>
          <w:sz w:val="24"/>
          <w:szCs w:val="24"/>
        </w:rPr>
        <w:t xml:space="preserve">potential </w:t>
      </w:r>
      <w:r w:rsidR="00E26783">
        <w:rPr>
          <w:sz w:val="24"/>
          <w:szCs w:val="24"/>
        </w:rPr>
        <w:t>significance</w:t>
      </w:r>
      <w:r>
        <w:rPr>
          <w:sz w:val="24"/>
          <w:szCs w:val="24"/>
        </w:rPr>
        <w:t xml:space="preserve"> of the new AGs</w:t>
      </w:r>
      <w:r w:rsidR="00E26783">
        <w:rPr>
          <w:sz w:val="24"/>
          <w:szCs w:val="24"/>
        </w:rPr>
        <w:t xml:space="preserve">, as well as the larger </w:t>
      </w:r>
      <w:r w:rsidR="00E85635">
        <w:rPr>
          <w:sz w:val="24"/>
          <w:szCs w:val="24"/>
        </w:rPr>
        <w:t>shift in the relative importance of subnational governments</w:t>
      </w:r>
      <w:r>
        <w:rPr>
          <w:sz w:val="24"/>
          <w:szCs w:val="24"/>
        </w:rPr>
        <w:t xml:space="preserve"> become</w:t>
      </w:r>
      <w:r w:rsidR="003B4ACF">
        <w:rPr>
          <w:sz w:val="24"/>
          <w:szCs w:val="24"/>
        </w:rPr>
        <w:t>s</w:t>
      </w:r>
      <w:r>
        <w:rPr>
          <w:sz w:val="24"/>
          <w:szCs w:val="24"/>
        </w:rPr>
        <w:t xml:space="preserve"> more visible when we look at the per capita revenues of all subnational governments. </w:t>
      </w:r>
      <w:r w:rsidR="00E85635">
        <w:rPr>
          <w:sz w:val="24"/>
          <w:szCs w:val="24"/>
        </w:rPr>
        <w:t xml:space="preserve"> As can be seen from </w:t>
      </w:r>
      <w:r w:rsidR="00E85635" w:rsidRPr="00CB0E65">
        <w:rPr>
          <w:sz w:val="24"/>
          <w:szCs w:val="24"/>
        </w:rPr>
        <w:t xml:space="preserve">Figure </w:t>
      </w:r>
      <w:r w:rsidR="00E85635">
        <w:rPr>
          <w:sz w:val="24"/>
          <w:szCs w:val="24"/>
        </w:rPr>
        <w:t xml:space="preserve">5 (below), Cities are now clearly the most important level of subnational government. Meanwhile, oblast revenues have fallen so sharply </w:t>
      </w:r>
      <w:r>
        <w:rPr>
          <w:sz w:val="24"/>
          <w:szCs w:val="24"/>
        </w:rPr>
        <w:t>that they are now</w:t>
      </w:r>
      <w:r w:rsidR="00E85635">
        <w:rPr>
          <w:sz w:val="24"/>
          <w:szCs w:val="24"/>
        </w:rPr>
        <w:t xml:space="preserve"> only slightly higher than those of unconsolidated gromada</w:t>
      </w:r>
      <w:r>
        <w:rPr>
          <w:sz w:val="24"/>
          <w:szCs w:val="24"/>
        </w:rPr>
        <w:t xml:space="preserve"> in per capita terms</w:t>
      </w:r>
      <w:r w:rsidR="00E85635">
        <w:rPr>
          <w:sz w:val="24"/>
          <w:szCs w:val="24"/>
        </w:rPr>
        <w:t>. But the most s</w:t>
      </w:r>
      <w:r w:rsidR="00EB37B0">
        <w:rPr>
          <w:sz w:val="24"/>
          <w:szCs w:val="24"/>
        </w:rPr>
        <w:t>triking aspect of the figure is the structural similarity</w:t>
      </w:r>
      <w:r w:rsidR="00E85635">
        <w:rPr>
          <w:sz w:val="24"/>
          <w:szCs w:val="24"/>
        </w:rPr>
        <w:t xml:space="preserve"> between </w:t>
      </w:r>
      <w:r>
        <w:rPr>
          <w:sz w:val="24"/>
          <w:szCs w:val="24"/>
        </w:rPr>
        <w:t>Cities</w:t>
      </w:r>
      <w:r w:rsidR="00EB37B0">
        <w:rPr>
          <w:sz w:val="24"/>
          <w:szCs w:val="24"/>
        </w:rPr>
        <w:t xml:space="preserve"> and AG</w:t>
      </w:r>
      <w:r>
        <w:rPr>
          <w:sz w:val="24"/>
          <w:szCs w:val="24"/>
        </w:rPr>
        <w:t>s</w:t>
      </w:r>
      <w:r w:rsidR="00EB37B0">
        <w:rPr>
          <w:sz w:val="24"/>
          <w:szCs w:val="24"/>
        </w:rPr>
        <w:t>:</w:t>
      </w:r>
      <w:r w:rsidR="00E85635">
        <w:rPr>
          <w:sz w:val="24"/>
          <w:szCs w:val="24"/>
        </w:rPr>
        <w:t xml:space="preserve"> Unlike </w:t>
      </w:r>
      <w:r w:rsidR="00E85635" w:rsidRPr="00CB0E65">
        <w:rPr>
          <w:sz w:val="24"/>
          <w:szCs w:val="24"/>
        </w:rPr>
        <w:t xml:space="preserve">rayons and oblasts, both derive a significant share of </w:t>
      </w:r>
      <w:r w:rsidR="00E85635">
        <w:rPr>
          <w:sz w:val="24"/>
          <w:szCs w:val="24"/>
        </w:rPr>
        <w:t>their revenues from own-sources. And unlike unconsolidated gromada, both receive</w:t>
      </w:r>
      <w:r w:rsidR="00E85635" w:rsidRPr="00CB0E65">
        <w:rPr>
          <w:sz w:val="24"/>
          <w:szCs w:val="24"/>
        </w:rPr>
        <w:t xml:space="preserve"> significant </w:t>
      </w:r>
      <w:r w:rsidR="00E85635">
        <w:rPr>
          <w:sz w:val="24"/>
          <w:szCs w:val="24"/>
        </w:rPr>
        <w:t xml:space="preserve">transfers </w:t>
      </w:r>
      <w:r w:rsidR="00E85635" w:rsidRPr="00CB0E65">
        <w:rPr>
          <w:sz w:val="24"/>
          <w:szCs w:val="24"/>
        </w:rPr>
        <w:t>for the provisi</w:t>
      </w:r>
      <w:r>
        <w:rPr>
          <w:sz w:val="24"/>
          <w:szCs w:val="24"/>
        </w:rPr>
        <w:t xml:space="preserve">on of social sector </w:t>
      </w:r>
      <w:r w:rsidR="00E85635" w:rsidRPr="00CB0E65">
        <w:rPr>
          <w:sz w:val="24"/>
          <w:szCs w:val="24"/>
        </w:rPr>
        <w:t>services</w:t>
      </w:r>
      <w:r w:rsidR="00E85635">
        <w:rPr>
          <w:sz w:val="24"/>
          <w:szCs w:val="24"/>
        </w:rPr>
        <w:t xml:space="preserve">. </w:t>
      </w:r>
      <w:r w:rsidR="00E85635" w:rsidRPr="00CB0E65">
        <w:rPr>
          <w:sz w:val="24"/>
          <w:szCs w:val="24"/>
        </w:rPr>
        <w:t>Indeed, if the</w:t>
      </w:r>
      <w:r>
        <w:rPr>
          <w:sz w:val="24"/>
          <w:szCs w:val="24"/>
        </w:rPr>
        <w:t xml:space="preserve"> social welfare payments --Transfers to Individuals--</w:t>
      </w:r>
      <w:r w:rsidR="00E85635" w:rsidRPr="00CB0E65">
        <w:rPr>
          <w:sz w:val="24"/>
          <w:szCs w:val="24"/>
        </w:rPr>
        <w:t xml:space="preserve"> that are currently administered by rayons were </w:t>
      </w:r>
      <w:r w:rsidR="00EB37B0">
        <w:rPr>
          <w:sz w:val="24"/>
          <w:szCs w:val="24"/>
        </w:rPr>
        <w:t xml:space="preserve">shifted to AGs, not only would the composition of their </w:t>
      </w:r>
      <w:r w:rsidR="00EB37B0">
        <w:rPr>
          <w:sz w:val="24"/>
          <w:szCs w:val="24"/>
        </w:rPr>
        <w:lastRenderedPageBreak/>
        <w:t>revenues be even more like those of cities, but their per capita budgets would exceed those of rayons.</w:t>
      </w:r>
      <w:r w:rsidR="00E85635">
        <w:rPr>
          <w:sz w:val="24"/>
          <w:szCs w:val="24"/>
        </w:rPr>
        <w:t xml:space="preserve"> </w:t>
      </w:r>
    </w:p>
    <w:p w:rsidR="008F25D7" w:rsidRPr="00AD0580" w:rsidRDefault="008F25D7" w:rsidP="008F25D7">
      <w:pPr>
        <w:pStyle w:val="Heading3"/>
        <w:rPr>
          <w:color w:val="1F4E79" w:themeColor="accent1" w:themeShade="80"/>
        </w:rPr>
      </w:pPr>
      <w:bookmarkStart w:id="7" w:name="_Toc488757967"/>
      <w:r>
        <w:rPr>
          <w:color w:val="1F4E79" w:themeColor="accent1" w:themeShade="80"/>
        </w:rPr>
        <w:t>Figure 6: Per Capita Local Government Revenue by Level of Government (</w:t>
      </w:r>
      <w:r w:rsidRPr="00AD0580">
        <w:rPr>
          <w:color w:val="1F4E79" w:themeColor="accent1" w:themeShade="80"/>
        </w:rPr>
        <w:t>2016 UAH</w:t>
      </w:r>
      <w:r>
        <w:rPr>
          <w:color w:val="1F4E79" w:themeColor="accent1" w:themeShade="80"/>
        </w:rPr>
        <w:t>)</w:t>
      </w:r>
      <w:bookmarkEnd w:id="7"/>
    </w:p>
    <w:p w:rsidR="008F25D7" w:rsidRDefault="008F25D7" w:rsidP="008F25D7">
      <w:pPr>
        <w:jc w:val="both"/>
        <w:rPr>
          <w:sz w:val="24"/>
          <w:szCs w:val="24"/>
        </w:rPr>
      </w:pPr>
      <w:r>
        <w:rPr>
          <w:noProof/>
        </w:rPr>
        <w:drawing>
          <wp:inline distT="0" distB="0" distL="0" distR="0" wp14:anchorId="387EEA2B" wp14:editId="77EA4717">
            <wp:extent cx="5897880" cy="2796540"/>
            <wp:effectExtent l="0" t="0" r="762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25D7" w:rsidRPr="00FF28D3" w:rsidRDefault="00CE52C6" w:rsidP="008F25D7">
      <w:pPr>
        <w:jc w:val="both"/>
        <w:rPr>
          <w:sz w:val="24"/>
          <w:szCs w:val="24"/>
        </w:rPr>
      </w:pPr>
      <w:r>
        <w:rPr>
          <w:sz w:val="24"/>
          <w:szCs w:val="24"/>
        </w:rPr>
        <w:t>In short, what the Figure suggests is that 2015 reforms have set in motion a process that is perhaps</w:t>
      </w:r>
      <w:r w:rsidR="001F6953">
        <w:rPr>
          <w:sz w:val="24"/>
          <w:szCs w:val="24"/>
        </w:rPr>
        <w:t xml:space="preserve"> best</w:t>
      </w:r>
      <w:r>
        <w:rPr>
          <w:sz w:val="24"/>
          <w:szCs w:val="24"/>
        </w:rPr>
        <w:t xml:space="preserve"> described </w:t>
      </w:r>
      <w:r w:rsidR="008F25D7" w:rsidRPr="00FF28D3">
        <w:rPr>
          <w:sz w:val="24"/>
          <w:szCs w:val="24"/>
        </w:rPr>
        <w:t xml:space="preserve">as </w:t>
      </w:r>
      <w:r w:rsidR="008F25D7" w:rsidRPr="00EB37B0">
        <w:rPr>
          <w:b/>
          <w:i/>
          <w:sz w:val="24"/>
          <w:szCs w:val="24"/>
        </w:rPr>
        <w:t>the munici</w:t>
      </w:r>
      <w:r w:rsidRPr="00EB37B0">
        <w:rPr>
          <w:b/>
          <w:i/>
          <w:sz w:val="24"/>
          <w:szCs w:val="24"/>
        </w:rPr>
        <w:t>palization of oblast power, and</w:t>
      </w:r>
      <w:r w:rsidR="008F25D7" w:rsidRPr="00EB37B0">
        <w:rPr>
          <w:b/>
          <w:i/>
          <w:sz w:val="24"/>
          <w:szCs w:val="24"/>
        </w:rPr>
        <w:t xml:space="preserve"> </w:t>
      </w:r>
      <w:r w:rsidR="001F6953" w:rsidRPr="00EB37B0">
        <w:rPr>
          <w:b/>
          <w:i/>
          <w:sz w:val="24"/>
          <w:szCs w:val="24"/>
        </w:rPr>
        <w:t xml:space="preserve">the </w:t>
      </w:r>
      <w:r w:rsidR="008F25D7" w:rsidRPr="00EB37B0">
        <w:rPr>
          <w:b/>
          <w:i/>
          <w:sz w:val="24"/>
          <w:szCs w:val="24"/>
        </w:rPr>
        <w:t>“gromadization”</w:t>
      </w:r>
      <w:r w:rsidRPr="00EB37B0">
        <w:rPr>
          <w:b/>
          <w:i/>
          <w:sz w:val="24"/>
          <w:szCs w:val="24"/>
        </w:rPr>
        <w:t xml:space="preserve"> of rayon</w:t>
      </w:r>
      <w:r w:rsidR="008F25D7" w:rsidRPr="00EB37B0">
        <w:rPr>
          <w:b/>
          <w:i/>
          <w:sz w:val="24"/>
          <w:szCs w:val="24"/>
        </w:rPr>
        <w:t xml:space="preserve"> power.</w:t>
      </w:r>
      <w:r w:rsidR="00B45EEB">
        <w:rPr>
          <w:sz w:val="24"/>
          <w:szCs w:val="24"/>
        </w:rPr>
        <w:t xml:space="preserve"> </w:t>
      </w:r>
    </w:p>
    <w:p w:rsidR="001F6953" w:rsidRPr="009B65FB" w:rsidRDefault="001F6953" w:rsidP="009B65FB">
      <w:pPr>
        <w:pStyle w:val="Heading1"/>
        <w:numPr>
          <w:ilvl w:val="0"/>
          <w:numId w:val="4"/>
        </w:numPr>
      </w:pPr>
      <w:bookmarkStart w:id="8" w:name="_Toc488757993"/>
      <w:r w:rsidRPr="009B65FB">
        <w:t>Amalgamated Gromada (AGs) and the Amalgamation Process</w:t>
      </w:r>
      <w:bookmarkEnd w:id="8"/>
    </w:p>
    <w:p w:rsidR="001F6953" w:rsidRPr="003E2F43" w:rsidRDefault="001F6953" w:rsidP="001F6953">
      <w:pPr>
        <w:spacing w:after="0"/>
      </w:pPr>
    </w:p>
    <w:p w:rsidR="001F6953" w:rsidRDefault="00E26783" w:rsidP="001F6953">
      <w:pPr>
        <w:jc w:val="both"/>
        <w:rPr>
          <w:sz w:val="24"/>
          <w:szCs w:val="24"/>
        </w:rPr>
      </w:pPr>
      <w:r>
        <w:rPr>
          <w:sz w:val="24"/>
          <w:szCs w:val="24"/>
        </w:rPr>
        <w:t xml:space="preserve">As we have noted, </w:t>
      </w:r>
      <w:r w:rsidR="00E75D1E">
        <w:rPr>
          <w:sz w:val="24"/>
          <w:szCs w:val="24"/>
        </w:rPr>
        <w:t>the national government was</w:t>
      </w:r>
      <w:r>
        <w:rPr>
          <w:sz w:val="24"/>
          <w:szCs w:val="24"/>
        </w:rPr>
        <w:t xml:space="preserve"> unable to muster the parliamentary votes necessary to pass legislation requiring the amalgamation of all gromada. </w:t>
      </w:r>
      <w:r w:rsidR="00E75D1E">
        <w:rPr>
          <w:sz w:val="24"/>
          <w:szCs w:val="24"/>
        </w:rPr>
        <w:t xml:space="preserve">As a result, </w:t>
      </w:r>
      <w:r>
        <w:rPr>
          <w:sz w:val="24"/>
          <w:szCs w:val="24"/>
        </w:rPr>
        <w:t>it has had to rely on a voluntary process</w:t>
      </w:r>
      <w:r w:rsidR="00E75D1E">
        <w:rPr>
          <w:sz w:val="24"/>
          <w:szCs w:val="24"/>
        </w:rPr>
        <w:t xml:space="preserve">. </w:t>
      </w:r>
      <w:r w:rsidR="009F7A0A">
        <w:rPr>
          <w:sz w:val="24"/>
          <w:szCs w:val="24"/>
        </w:rPr>
        <w:t xml:space="preserve">In 2016, about 1000 gromada </w:t>
      </w:r>
      <w:r w:rsidR="00E75D1E">
        <w:rPr>
          <w:sz w:val="24"/>
          <w:szCs w:val="24"/>
        </w:rPr>
        <w:t>voluntarily consolidated into 159 AGs.</w:t>
      </w:r>
      <w:r w:rsidR="009F7A0A">
        <w:rPr>
          <w:sz w:val="24"/>
          <w:szCs w:val="24"/>
        </w:rPr>
        <w:t xml:space="preserve"> Together these AG</w:t>
      </w:r>
      <w:r w:rsidR="00812DCF">
        <w:rPr>
          <w:sz w:val="24"/>
          <w:szCs w:val="24"/>
        </w:rPr>
        <w:t>s</w:t>
      </w:r>
      <w:r w:rsidR="00A211BC">
        <w:rPr>
          <w:sz w:val="24"/>
          <w:szCs w:val="24"/>
        </w:rPr>
        <w:t xml:space="preserve"> serve 1.38 million people, or </w:t>
      </w:r>
      <w:r w:rsidR="009F7A0A">
        <w:rPr>
          <w:sz w:val="24"/>
          <w:szCs w:val="24"/>
        </w:rPr>
        <w:t xml:space="preserve">about </w:t>
      </w:r>
      <w:r w:rsidR="00A211BC">
        <w:rPr>
          <w:sz w:val="24"/>
          <w:szCs w:val="24"/>
        </w:rPr>
        <w:t xml:space="preserve">3.6% of </w:t>
      </w:r>
      <w:r w:rsidR="00E75D1E">
        <w:rPr>
          <w:sz w:val="24"/>
          <w:szCs w:val="24"/>
        </w:rPr>
        <w:t>Ukraine’s</w:t>
      </w:r>
      <w:r w:rsidR="00A211BC">
        <w:rPr>
          <w:sz w:val="24"/>
          <w:szCs w:val="24"/>
        </w:rPr>
        <w:t xml:space="preserve"> population (without Crimea and the occupied territories of the Donbas</w:t>
      </w:r>
      <w:r w:rsidR="0058308E">
        <w:rPr>
          <w:sz w:val="24"/>
          <w:szCs w:val="24"/>
        </w:rPr>
        <w:t>)</w:t>
      </w:r>
      <w:r w:rsidR="00A211BC">
        <w:rPr>
          <w:sz w:val="24"/>
          <w:szCs w:val="24"/>
        </w:rPr>
        <w:t>. Since 2016</w:t>
      </w:r>
      <w:r w:rsidR="009F7A0A">
        <w:rPr>
          <w:sz w:val="24"/>
          <w:szCs w:val="24"/>
        </w:rPr>
        <w:t>, another 254 AGs</w:t>
      </w:r>
      <w:r w:rsidR="001F6953">
        <w:rPr>
          <w:sz w:val="24"/>
          <w:szCs w:val="24"/>
        </w:rPr>
        <w:t xml:space="preserve"> have been created, some of wh</w:t>
      </w:r>
      <w:r w:rsidR="00E75D1E">
        <w:rPr>
          <w:sz w:val="24"/>
          <w:szCs w:val="24"/>
        </w:rPr>
        <w:t>ich will only begin functioning in 2018</w:t>
      </w:r>
      <w:r w:rsidR="001F6953">
        <w:rPr>
          <w:sz w:val="24"/>
          <w:szCs w:val="24"/>
        </w:rPr>
        <w:t>.</w:t>
      </w:r>
      <w:r w:rsidR="00A211BC">
        <w:rPr>
          <w:sz w:val="24"/>
          <w:szCs w:val="24"/>
        </w:rPr>
        <w:t xml:space="preserve"> As</w:t>
      </w:r>
      <w:r w:rsidR="00E75D1E">
        <w:rPr>
          <w:sz w:val="24"/>
          <w:szCs w:val="24"/>
        </w:rPr>
        <w:t xml:space="preserve"> a</w:t>
      </w:r>
      <w:r w:rsidR="00A211BC">
        <w:rPr>
          <w:sz w:val="24"/>
          <w:szCs w:val="24"/>
        </w:rPr>
        <w:t xml:space="preserve"> result,</w:t>
      </w:r>
      <w:r w:rsidR="00E75D1E">
        <w:rPr>
          <w:sz w:val="24"/>
          <w:szCs w:val="24"/>
        </w:rPr>
        <w:t xml:space="preserve"> soon </w:t>
      </w:r>
      <w:r w:rsidR="001F6953">
        <w:rPr>
          <w:sz w:val="24"/>
          <w:szCs w:val="24"/>
        </w:rPr>
        <w:t>there will be</w:t>
      </w:r>
      <w:r w:rsidR="001B772B">
        <w:rPr>
          <w:sz w:val="24"/>
          <w:szCs w:val="24"/>
        </w:rPr>
        <w:t xml:space="preserve"> 413 AGs serving </w:t>
      </w:r>
      <w:r w:rsidR="001F6953">
        <w:rPr>
          <w:sz w:val="24"/>
          <w:szCs w:val="24"/>
        </w:rPr>
        <w:t xml:space="preserve">3.68 million </w:t>
      </w:r>
      <w:r w:rsidR="00A211BC">
        <w:rPr>
          <w:sz w:val="24"/>
          <w:szCs w:val="24"/>
        </w:rPr>
        <w:t>people</w:t>
      </w:r>
      <w:r w:rsidR="0058308E">
        <w:rPr>
          <w:sz w:val="24"/>
          <w:szCs w:val="24"/>
        </w:rPr>
        <w:t>,</w:t>
      </w:r>
      <w:r w:rsidR="009F7A0A">
        <w:rPr>
          <w:sz w:val="24"/>
          <w:szCs w:val="24"/>
        </w:rPr>
        <w:t xml:space="preserve"> or about </w:t>
      </w:r>
      <w:r w:rsidR="00A211BC">
        <w:rPr>
          <w:sz w:val="24"/>
          <w:szCs w:val="24"/>
        </w:rPr>
        <w:t>9.5% of</w:t>
      </w:r>
      <w:r w:rsidR="009F7A0A">
        <w:rPr>
          <w:sz w:val="24"/>
          <w:szCs w:val="24"/>
        </w:rPr>
        <w:t xml:space="preserve"> the total</w:t>
      </w:r>
      <w:r w:rsidR="00812DCF">
        <w:rPr>
          <w:sz w:val="24"/>
          <w:szCs w:val="24"/>
        </w:rPr>
        <w:t xml:space="preserve"> population</w:t>
      </w:r>
      <w:r w:rsidR="00A211BC">
        <w:rPr>
          <w:sz w:val="24"/>
          <w:szCs w:val="24"/>
        </w:rPr>
        <w:t xml:space="preserve"> and about 20% of the </w:t>
      </w:r>
      <w:r w:rsidR="009B65FB">
        <w:rPr>
          <w:sz w:val="24"/>
          <w:szCs w:val="24"/>
        </w:rPr>
        <w:t xml:space="preserve">population living outside of cities. </w:t>
      </w:r>
    </w:p>
    <w:p w:rsidR="00812DCF" w:rsidRDefault="00E75D1E" w:rsidP="00E26783">
      <w:pPr>
        <w:jc w:val="both"/>
        <w:rPr>
          <w:sz w:val="24"/>
          <w:szCs w:val="24"/>
        </w:rPr>
      </w:pPr>
      <w:r w:rsidRPr="00571D8A">
        <w:rPr>
          <w:sz w:val="24"/>
          <w:szCs w:val="24"/>
        </w:rPr>
        <w:t>This is a</w:t>
      </w:r>
      <w:r>
        <w:rPr>
          <w:sz w:val="24"/>
          <w:szCs w:val="24"/>
        </w:rPr>
        <w:t>n impressive achievement</w:t>
      </w:r>
      <w:r w:rsidRPr="00571D8A">
        <w:rPr>
          <w:sz w:val="24"/>
          <w:szCs w:val="24"/>
        </w:rPr>
        <w:t xml:space="preserve">. </w:t>
      </w:r>
      <w:r w:rsidR="001B772B">
        <w:rPr>
          <w:sz w:val="24"/>
          <w:szCs w:val="24"/>
        </w:rPr>
        <w:t xml:space="preserve">But </w:t>
      </w:r>
      <w:r>
        <w:rPr>
          <w:sz w:val="24"/>
          <w:szCs w:val="24"/>
        </w:rPr>
        <w:t>80% of the non-urban population still lives in unconsolidated gromada</w:t>
      </w:r>
      <w:r w:rsidR="001B772B">
        <w:rPr>
          <w:sz w:val="24"/>
          <w:szCs w:val="24"/>
        </w:rPr>
        <w:t xml:space="preserve"> </w:t>
      </w:r>
      <w:r w:rsidR="00812DCF">
        <w:rPr>
          <w:sz w:val="24"/>
          <w:szCs w:val="24"/>
        </w:rPr>
        <w:t xml:space="preserve">that remain too small to provide basic public services and thus must remain on rayons. So </w:t>
      </w:r>
      <w:r w:rsidR="001B772B">
        <w:rPr>
          <w:sz w:val="24"/>
          <w:szCs w:val="24"/>
        </w:rPr>
        <w:t xml:space="preserve">much remains to be done. In this section, we review what has been accomplished through </w:t>
      </w:r>
      <w:r w:rsidR="00D35968">
        <w:rPr>
          <w:sz w:val="24"/>
          <w:szCs w:val="24"/>
        </w:rPr>
        <w:t xml:space="preserve">voluntary amalgamation </w:t>
      </w:r>
      <w:r w:rsidR="001B772B">
        <w:rPr>
          <w:sz w:val="24"/>
          <w:szCs w:val="24"/>
        </w:rPr>
        <w:t>and make three basic points</w:t>
      </w:r>
      <w:r w:rsidR="00DC1EC3">
        <w:rPr>
          <w:sz w:val="24"/>
          <w:szCs w:val="24"/>
        </w:rPr>
        <w:t xml:space="preserve"> about the process.</w:t>
      </w:r>
    </w:p>
    <w:p w:rsidR="00812DCF" w:rsidRDefault="00DC1EC3" w:rsidP="00E26783">
      <w:pPr>
        <w:jc w:val="both"/>
        <w:rPr>
          <w:sz w:val="24"/>
          <w:szCs w:val="24"/>
        </w:rPr>
      </w:pPr>
      <w:r>
        <w:rPr>
          <w:sz w:val="24"/>
          <w:szCs w:val="24"/>
        </w:rPr>
        <w:t>The first</w:t>
      </w:r>
      <w:r w:rsidR="00D35968">
        <w:rPr>
          <w:sz w:val="24"/>
          <w:szCs w:val="24"/>
        </w:rPr>
        <w:t xml:space="preserve"> is simply that while the </w:t>
      </w:r>
      <w:r>
        <w:rPr>
          <w:sz w:val="24"/>
          <w:szCs w:val="24"/>
        </w:rPr>
        <w:t xml:space="preserve">voluntary amalgamation </w:t>
      </w:r>
      <w:r w:rsidR="00D35968">
        <w:rPr>
          <w:sz w:val="24"/>
          <w:szCs w:val="24"/>
        </w:rPr>
        <w:t>is still in its infancy, it can be</w:t>
      </w:r>
      <w:r w:rsidR="001B772B">
        <w:rPr>
          <w:sz w:val="24"/>
          <w:szCs w:val="24"/>
        </w:rPr>
        <w:t xml:space="preserve"> assumed</w:t>
      </w:r>
      <w:r>
        <w:rPr>
          <w:sz w:val="24"/>
          <w:szCs w:val="24"/>
        </w:rPr>
        <w:t xml:space="preserve"> that many of the </w:t>
      </w:r>
      <w:r w:rsidR="001B772B">
        <w:rPr>
          <w:sz w:val="24"/>
          <w:szCs w:val="24"/>
        </w:rPr>
        <w:t xml:space="preserve">gromada most intent on amalgamation have already </w:t>
      </w:r>
      <w:r>
        <w:rPr>
          <w:sz w:val="24"/>
          <w:szCs w:val="24"/>
        </w:rPr>
        <w:t>consolidated themselves, and that</w:t>
      </w:r>
      <w:r w:rsidR="00812DCF">
        <w:rPr>
          <w:sz w:val="24"/>
          <w:szCs w:val="24"/>
        </w:rPr>
        <w:t xml:space="preserve"> over t</w:t>
      </w:r>
      <w:r>
        <w:rPr>
          <w:sz w:val="24"/>
          <w:szCs w:val="24"/>
        </w:rPr>
        <w:t xml:space="preserve">ime it will be become harder and harder to convince others to </w:t>
      </w:r>
      <w:r w:rsidR="00812DCF">
        <w:rPr>
          <w:sz w:val="24"/>
          <w:szCs w:val="24"/>
        </w:rPr>
        <w:t xml:space="preserve">voluntarily </w:t>
      </w:r>
      <w:r>
        <w:rPr>
          <w:sz w:val="24"/>
          <w:szCs w:val="24"/>
        </w:rPr>
        <w:t>join-</w:t>
      </w:r>
      <w:r w:rsidR="00812DCF">
        <w:rPr>
          <w:sz w:val="24"/>
          <w:szCs w:val="24"/>
        </w:rPr>
        <w:t>up.</w:t>
      </w:r>
      <w:r>
        <w:rPr>
          <w:sz w:val="24"/>
          <w:szCs w:val="24"/>
        </w:rPr>
        <w:t xml:space="preserve"> </w:t>
      </w:r>
      <w:r>
        <w:rPr>
          <w:sz w:val="24"/>
          <w:szCs w:val="24"/>
        </w:rPr>
        <w:lastRenderedPageBreak/>
        <w:t xml:space="preserve">As such, it seems unlikely that the process can be carried to completion without the </w:t>
      </w:r>
      <w:r w:rsidR="00812DCF">
        <w:rPr>
          <w:sz w:val="24"/>
          <w:szCs w:val="24"/>
        </w:rPr>
        <w:t xml:space="preserve">eventual </w:t>
      </w:r>
      <w:r>
        <w:rPr>
          <w:sz w:val="24"/>
          <w:szCs w:val="24"/>
        </w:rPr>
        <w:t xml:space="preserve">passage of legislation that requires all gromada to consolidate by a certain date. </w:t>
      </w:r>
    </w:p>
    <w:p w:rsidR="000B27CC" w:rsidRDefault="00E26783" w:rsidP="000B27CC">
      <w:pPr>
        <w:jc w:val="both"/>
        <w:rPr>
          <w:sz w:val="24"/>
          <w:szCs w:val="24"/>
        </w:rPr>
      </w:pPr>
      <w:r>
        <w:rPr>
          <w:sz w:val="24"/>
          <w:szCs w:val="24"/>
        </w:rPr>
        <w:t>The second</w:t>
      </w:r>
      <w:r w:rsidR="00DC1EC3">
        <w:rPr>
          <w:sz w:val="24"/>
          <w:szCs w:val="24"/>
        </w:rPr>
        <w:t xml:space="preserve"> and the third point</w:t>
      </w:r>
      <w:r w:rsidR="00812DCF">
        <w:rPr>
          <w:sz w:val="24"/>
          <w:szCs w:val="24"/>
        </w:rPr>
        <w:t>s relate to the incentives that reformers have used to encourage consolidation. They underscore the first point</w:t>
      </w:r>
      <w:r w:rsidR="00DC1EC3">
        <w:rPr>
          <w:sz w:val="24"/>
          <w:szCs w:val="24"/>
        </w:rPr>
        <w:t xml:space="preserve"> by suggesting that there have been serious costs </w:t>
      </w:r>
      <w:r w:rsidR="00812DCF">
        <w:rPr>
          <w:sz w:val="24"/>
          <w:szCs w:val="24"/>
        </w:rPr>
        <w:t xml:space="preserve">to </w:t>
      </w:r>
      <w:r w:rsidR="00DC1EC3">
        <w:rPr>
          <w:sz w:val="24"/>
          <w:szCs w:val="24"/>
        </w:rPr>
        <w:t xml:space="preserve">voluntary </w:t>
      </w:r>
      <w:r w:rsidR="00812DCF">
        <w:rPr>
          <w:sz w:val="24"/>
          <w:szCs w:val="24"/>
        </w:rPr>
        <w:t xml:space="preserve">amalgamation, and that </w:t>
      </w:r>
      <w:r w:rsidR="00DC1EC3">
        <w:rPr>
          <w:sz w:val="24"/>
          <w:szCs w:val="24"/>
        </w:rPr>
        <w:t xml:space="preserve">overtime these costs will become less </w:t>
      </w:r>
      <w:r w:rsidR="00812DCF">
        <w:rPr>
          <w:sz w:val="24"/>
          <w:szCs w:val="24"/>
        </w:rPr>
        <w:t xml:space="preserve">and less </w:t>
      </w:r>
      <w:r w:rsidR="00DC1EC3">
        <w:rPr>
          <w:sz w:val="24"/>
          <w:szCs w:val="24"/>
        </w:rPr>
        <w:t>sustainable.</w:t>
      </w:r>
      <w:r w:rsidR="00812DCF">
        <w:rPr>
          <w:sz w:val="24"/>
          <w:szCs w:val="24"/>
        </w:rPr>
        <w:t xml:space="preserve"> The most of obvious of these costs concerns the substantial investment grants that the government has been providing to new AG</w:t>
      </w:r>
      <w:r w:rsidR="000B27CC">
        <w:rPr>
          <w:sz w:val="24"/>
          <w:szCs w:val="24"/>
        </w:rPr>
        <w:t xml:space="preserve">s. </w:t>
      </w:r>
      <w:r w:rsidR="00812DCF">
        <w:rPr>
          <w:sz w:val="24"/>
          <w:szCs w:val="24"/>
        </w:rPr>
        <w:t xml:space="preserve"> </w:t>
      </w:r>
      <w:r w:rsidR="000B27CC">
        <w:rPr>
          <w:sz w:val="24"/>
          <w:szCs w:val="24"/>
        </w:rPr>
        <w:t>A</w:t>
      </w:r>
      <w:r>
        <w:rPr>
          <w:sz w:val="24"/>
          <w:szCs w:val="24"/>
        </w:rPr>
        <w:t>s can be seen from Figure 6 above, the scale of these grants has been significant: AGs received close to 800 UAH per capita in inve</w:t>
      </w:r>
      <w:r w:rsidR="000B27CC">
        <w:rPr>
          <w:sz w:val="24"/>
          <w:szCs w:val="24"/>
        </w:rPr>
        <w:t>stment grants in 2016 --</w:t>
      </w:r>
      <w:r>
        <w:rPr>
          <w:sz w:val="24"/>
          <w:szCs w:val="24"/>
        </w:rPr>
        <w:t>twice as a much as cities</w:t>
      </w:r>
      <w:r w:rsidR="000B27CC">
        <w:rPr>
          <w:sz w:val="24"/>
          <w:szCs w:val="24"/>
        </w:rPr>
        <w:t xml:space="preserve">, and </w:t>
      </w:r>
      <w:r>
        <w:rPr>
          <w:sz w:val="24"/>
          <w:szCs w:val="24"/>
        </w:rPr>
        <w:t>well over ten times as much as oblasts, rayons and unconsolidated gromada. In sh</w:t>
      </w:r>
      <w:r w:rsidR="000B27CC">
        <w:rPr>
          <w:sz w:val="24"/>
          <w:szCs w:val="24"/>
        </w:rPr>
        <w:t xml:space="preserve">ort, it is unclear whether these sorts of financial incentives are sustainable for much longer. </w:t>
      </w:r>
      <w:r>
        <w:rPr>
          <w:sz w:val="24"/>
          <w:szCs w:val="24"/>
        </w:rPr>
        <w:t xml:space="preserve"> </w:t>
      </w:r>
    </w:p>
    <w:p w:rsidR="00497BD9" w:rsidRDefault="00DB2151" w:rsidP="001F6953">
      <w:pPr>
        <w:jc w:val="both"/>
        <w:rPr>
          <w:sz w:val="24"/>
          <w:szCs w:val="24"/>
        </w:rPr>
      </w:pPr>
      <w:r>
        <w:rPr>
          <w:sz w:val="24"/>
          <w:szCs w:val="24"/>
        </w:rPr>
        <w:t>Equally</w:t>
      </w:r>
      <w:r w:rsidR="003B4ACF">
        <w:rPr>
          <w:sz w:val="24"/>
          <w:szCs w:val="24"/>
        </w:rPr>
        <w:t xml:space="preserve"> problematic</w:t>
      </w:r>
      <w:r w:rsidR="000B27CC">
        <w:rPr>
          <w:sz w:val="24"/>
          <w:szCs w:val="24"/>
        </w:rPr>
        <w:t xml:space="preserve"> </w:t>
      </w:r>
      <w:r>
        <w:rPr>
          <w:sz w:val="24"/>
          <w:szCs w:val="24"/>
        </w:rPr>
        <w:t xml:space="preserve">is </w:t>
      </w:r>
      <w:r w:rsidR="003B4ACF">
        <w:rPr>
          <w:sz w:val="24"/>
          <w:szCs w:val="24"/>
        </w:rPr>
        <w:t xml:space="preserve">the fact that in order to encourage consolidation </w:t>
      </w:r>
      <w:r>
        <w:rPr>
          <w:sz w:val="24"/>
          <w:szCs w:val="24"/>
        </w:rPr>
        <w:t xml:space="preserve">the </w:t>
      </w:r>
      <w:r w:rsidR="003B4ACF">
        <w:rPr>
          <w:sz w:val="24"/>
          <w:szCs w:val="24"/>
        </w:rPr>
        <w:t xml:space="preserve">government has pursued a </w:t>
      </w:r>
      <w:r>
        <w:rPr>
          <w:sz w:val="24"/>
          <w:szCs w:val="24"/>
        </w:rPr>
        <w:t xml:space="preserve">permissive policy </w:t>
      </w:r>
      <w:r w:rsidR="003B4ACF">
        <w:rPr>
          <w:sz w:val="24"/>
          <w:szCs w:val="24"/>
        </w:rPr>
        <w:t>w</w:t>
      </w:r>
      <w:r w:rsidR="009E298F">
        <w:rPr>
          <w:sz w:val="24"/>
          <w:szCs w:val="24"/>
        </w:rPr>
        <w:t>ith res</w:t>
      </w:r>
      <w:r w:rsidR="003B4ACF">
        <w:rPr>
          <w:sz w:val="24"/>
          <w:szCs w:val="24"/>
        </w:rPr>
        <w:t>pect to the</w:t>
      </w:r>
      <w:r>
        <w:rPr>
          <w:sz w:val="24"/>
          <w:szCs w:val="24"/>
        </w:rPr>
        <w:t xml:space="preserve"> kinds of AGs that</w:t>
      </w:r>
      <w:r w:rsidR="009E298F">
        <w:rPr>
          <w:sz w:val="24"/>
          <w:szCs w:val="24"/>
        </w:rPr>
        <w:t xml:space="preserve"> can be formed. This</w:t>
      </w:r>
      <w:r w:rsidR="003B4ACF">
        <w:rPr>
          <w:sz w:val="24"/>
          <w:szCs w:val="24"/>
        </w:rPr>
        <w:t xml:space="preserve"> permissive policy</w:t>
      </w:r>
      <w:r w:rsidR="009E298F">
        <w:rPr>
          <w:sz w:val="24"/>
          <w:szCs w:val="24"/>
        </w:rPr>
        <w:t xml:space="preserve"> has allowed for the establishment of AGs of very different sizes, structures and fiscal capacities. Thus, while on </w:t>
      </w:r>
      <w:r w:rsidR="00497BD9">
        <w:rPr>
          <w:sz w:val="24"/>
          <w:szCs w:val="24"/>
        </w:rPr>
        <w:t xml:space="preserve">average the </w:t>
      </w:r>
      <w:r w:rsidR="009E298F">
        <w:rPr>
          <w:sz w:val="24"/>
          <w:szCs w:val="24"/>
        </w:rPr>
        <w:t>159</w:t>
      </w:r>
      <w:r w:rsidR="00497BD9">
        <w:rPr>
          <w:sz w:val="24"/>
          <w:szCs w:val="24"/>
        </w:rPr>
        <w:t xml:space="preserve"> new</w:t>
      </w:r>
      <w:r w:rsidR="001F6953">
        <w:rPr>
          <w:sz w:val="24"/>
          <w:szCs w:val="24"/>
        </w:rPr>
        <w:t xml:space="preserve"> AG have about 8,700 inhabitants</w:t>
      </w:r>
      <w:r w:rsidR="00293542">
        <w:rPr>
          <w:sz w:val="24"/>
          <w:szCs w:val="24"/>
        </w:rPr>
        <w:t>,</w:t>
      </w:r>
      <w:r w:rsidR="00497BD9">
        <w:rPr>
          <w:sz w:val="24"/>
          <w:szCs w:val="24"/>
        </w:rPr>
        <w:t xml:space="preserve"> their </w:t>
      </w:r>
      <w:r w:rsidR="001F6953">
        <w:rPr>
          <w:sz w:val="24"/>
          <w:szCs w:val="24"/>
        </w:rPr>
        <w:t>population</w:t>
      </w:r>
      <w:r w:rsidR="00497BD9">
        <w:rPr>
          <w:sz w:val="24"/>
          <w:szCs w:val="24"/>
        </w:rPr>
        <w:t xml:space="preserve">s range between </w:t>
      </w:r>
      <w:r w:rsidR="001F6953" w:rsidRPr="009838CD">
        <w:rPr>
          <w:sz w:val="24"/>
          <w:szCs w:val="24"/>
        </w:rPr>
        <w:t xml:space="preserve">1,600 to 44,000 </w:t>
      </w:r>
      <w:r w:rsidR="00497BD9">
        <w:rPr>
          <w:sz w:val="24"/>
          <w:szCs w:val="24"/>
        </w:rPr>
        <w:t>citizens</w:t>
      </w:r>
      <w:r w:rsidR="00497BD9">
        <w:rPr>
          <w:rStyle w:val="FootnoteReference"/>
          <w:sz w:val="24"/>
          <w:szCs w:val="24"/>
        </w:rPr>
        <w:footnoteReference w:id="17"/>
      </w:r>
      <w:r w:rsidR="00293542">
        <w:rPr>
          <w:sz w:val="24"/>
          <w:szCs w:val="24"/>
        </w:rPr>
        <w:t xml:space="preserve">. Moreover, </w:t>
      </w:r>
      <w:r w:rsidR="001F6953">
        <w:rPr>
          <w:sz w:val="24"/>
          <w:szCs w:val="24"/>
        </w:rPr>
        <w:t xml:space="preserve">25% of them have </w:t>
      </w:r>
      <w:r w:rsidR="00293542">
        <w:rPr>
          <w:sz w:val="24"/>
          <w:szCs w:val="24"/>
        </w:rPr>
        <w:t xml:space="preserve">less than </w:t>
      </w:r>
      <w:r w:rsidR="001F6953">
        <w:rPr>
          <w:sz w:val="24"/>
          <w:szCs w:val="24"/>
        </w:rPr>
        <w:t>4,000 residents</w:t>
      </w:r>
      <w:r w:rsidR="00293542">
        <w:rPr>
          <w:sz w:val="24"/>
          <w:szCs w:val="24"/>
        </w:rPr>
        <w:t xml:space="preserve"> and </w:t>
      </w:r>
      <w:r w:rsidR="001F6953">
        <w:rPr>
          <w:sz w:val="24"/>
          <w:szCs w:val="24"/>
        </w:rPr>
        <w:t xml:space="preserve">94 of them have no central town or economic center. </w:t>
      </w:r>
    </w:p>
    <w:p w:rsidR="00EC16E1" w:rsidRDefault="001F6953" w:rsidP="008F32C1">
      <w:pPr>
        <w:jc w:val="both"/>
        <w:rPr>
          <w:sz w:val="24"/>
          <w:szCs w:val="24"/>
        </w:rPr>
      </w:pPr>
      <w:r>
        <w:rPr>
          <w:sz w:val="24"/>
          <w:szCs w:val="24"/>
        </w:rPr>
        <w:t>The small size of many AGs, and fact that almost 60% of them are composed only of rural settlements raises questions about their fiscal and economic sustainability</w:t>
      </w:r>
      <w:r w:rsidR="00364870">
        <w:rPr>
          <w:sz w:val="24"/>
          <w:szCs w:val="24"/>
        </w:rPr>
        <w:t>.</w:t>
      </w:r>
      <w:r w:rsidR="00EC16E1">
        <w:rPr>
          <w:sz w:val="24"/>
          <w:szCs w:val="24"/>
        </w:rPr>
        <w:t xml:space="preserve"> A better idea of the problems here can be </w:t>
      </w:r>
      <w:r w:rsidR="00364870">
        <w:rPr>
          <w:sz w:val="24"/>
          <w:szCs w:val="24"/>
        </w:rPr>
        <w:t>seen from Table 2</w:t>
      </w:r>
      <w:r w:rsidR="00EC16E1">
        <w:rPr>
          <w:sz w:val="24"/>
          <w:szCs w:val="24"/>
        </w:rPr>
        <w:t xml:space="preserve"> </w:t>
      </w:r>
      <w:r w:rsidR="00DB2151">
        <w:rPr>
          <w:sz w:val="24"/>
          <w:szCs w:val="24"/>
        </w:rPr>
        <w:t xml:space="preserve">(below) </w:t>
      </w:r>
      <w:r w:rsidR="00EC16E1">
        <w:rPr>
          <w:sz w:val="24"/>
          <w:szCs w:val="24"/>
        </w:rPr>
        <w:t>which</w:t>
      </w:r>
      <w:r w:rsidR="008F32C1">
        <w:rPr>
          <w:sz w:val="24"/>
          <w:szCs w:val="24"/>
        </w:rPr>
        <w:t xml:space="preserve"> presents the composition of AG revenues in quartiles ranked by </w:t>
      </w:r>
      <w:r w:rsidR="00364870">
        <w:rPr>
          <w:sz w:val="24"/>
          <w:szCs w:val="24"/>
        </w:rPr>
        <w:t xml:space="preserve">their </w:t>
      </w:r>
      <w:r w:rsidR="008F32C1">
        <w:rPr>
          <w:sz w:val="24"/>
          <w:szCs w:val="24"/>
        </w:rPr>
        <w:t>per capita</w:t>
      </w:r>
      <w:r w:rsidR="00364870">
        <w:rPr>
          <w:sz w:val="24"/>
          <w:szCs w:val="24"/>
        </w:rPr>
        <w:t xml:space="preserve"> revenues from</w:t>
      </w:r>
      <w:r w:rsidR="008F32C1">
        <w:rPr>
          <w:sz w:val="24"/>
          <w:szCs w:val="24"/>
        </w:rPr>
        <w:t xml:space="preserve"> shared taxes</w:t>
      </w:r>
      <w:r w:rsidR="00EC16E1">
        <w:rPr>
          <w:sz w:val="24"/>
          <w:szCs w:val="24"/>
        </w:rPr>
        <w:t xml:space="preserve"> –the best prox</w:t>
      </w:r>
      <w:r w:rsidR="00DB2151">
        <w:rPr>
          <w:sz w:val="24"/>
          <w:szCs w:val="24"/>
        </w:rPr>
        <w:t xml:space="preserve">y we have for </w:t>
      </w:r>
      <w:r w:rsidR="00EC16E1">
        <w:rPr>
          <w:sz w:val="24"/>
          <w:szCs w:val="24"/>
        </w:rPr>
        <w:t xml:space="preserve">their </w:t>
      </w:r>
      <w:r w:rsidR="00293542">
        <w:rPr>
          <w:sz w:val="24"/>
          <w:szCs w:val="24"/>
        </w:rPr>
        <w:t xml:space="preserve">relative wealth. </w:t>
      </w:r>
    </w:p>
    <w:p w:rsidR="00293542" w:rsidRDefault="00293542" w:rsidP="00293542">
      <w:pPr>
        <w:pStyle w:val="Heading3"/>
      </w:pPr>
      <w:bookmarkStart w:id="9" w:name="_Toc488757997"/>
      <w:r>
        <w:t>Table 15: AG Revenue Per Capita (in Quartiles ranked by Shared Taxes)</w:t>
      </w:r>
      <w:bookmarkEnd w:id="9"/>
    </w:p>
    <w:tbl>
      <w:tblPr>
        <w:tblW w:w="10219" w:type="dxa"/>
        <w:tblInd w:w="-5" w:type="dxa"/>
        <w:tblLook w:val="04A0" w:firstRow="1" w:lastRow="0" w:firstColumn="1" w:lastColumn="0" w:noHBand="0" w:noVBand="1"/>
      </w:tblPr>
      <w:tblGrid>
        <w:gridCol w:w="899"/>
        <w:gridCol w:w="1126"/>
        <w:gridCol w:w="796"/>
        <w:gridCol w:w="945"/>
        <w:gridCol w:w="606"/>
        <w:gridCol w:w="700"/>
        <w:gridCol w:w="859"/>
        <w:gridCol w:w="1162"/>
        <w:gridCol w:w="1044"/>
        <w:gridCol w:w="768"/>
        <w:gridCol w:w="674"/>
        <w:gridCol w:w="640"/>
      </w:tblGrid>
      <w:tr w:rsidR="00293542" w:rsidRPr="009630D9" w:rsidTr="00293542">
        <w:trPr>
          <w:trHeight w:val="1104"/>
        </w:trPr>
        <w:tc>
          <w:tcPr>
            <w:tcW w:w="8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Quartile</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Population</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Shared Taxes</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 xml:space="preserve">Land &amp; Property Taxes </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Rent</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Other Own</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proofErr w:type="spellStart"/>
            <w:r w:rsidRPr="009630D9">
              <w:rPr>
                <w:rFonts w:ascii="Calibri" w:eastAsia="Times New Roman" w:hAnsi="Calibri" w:cs="Times New Roman"/>
                <w:b/>
                <w:bCs/>
                <w:color w:val="000000"/>
                <w:sz w:val="20"/>
                <w:szCs w:val="20"/>
              </w:rPr>
              <w:t>Equaliz</w:t>
            </w:r>
            <w:proofErr w:type="spellEnd"/>
            <w:r w:rsidRPr="009630D9">
              <w:rPr>
                <w:rFonts w:ascii="Calibri" w:eastAsia="Times New Roman" w:hAnsi="Calibri" w:cs="Times New Roman"/>
                <w:b/>
                <w:bCs/>
                <w:color w:val="000000"/>
                <w:sz w:val="20"/>
                <w:szCs w:val="20"/>
              </w:rPr>
              <w:t>.</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Other Subsid &amp; Investment grants</w:t>
            </w:r>
          </w:p>
        </w:tc>
        <w:tc>
          <w:tcPr>
            <w:tcW w:w="1044"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Education Grant</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Health Grant</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Total</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293542" w:rsidRPr="009630D9" w:rsidRDefault="00293542" w:rsidP="002C57B6">
            <w:pPr>
              <w:spacing w:after="0" w:line="240" w:lineRule="auto"/>
              <w:jc w:val="center"/>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Total as % of 4th</w:t>
            </w:r>
          </w:p>
        </w:tc>
      </w:tr>
      <w:tr w:rsidR="00293542" w:rsidRPr="009630D9" w:rsidTr="00293542">
        <w:trPr>
          <w:trHeight w:val="288"/>
        </w:trPr>
        <w:tc>
          <w:tcPr>
            <w:tcW w:w="899" w:type="dxa"/>
            <w:tcBorders>
              <w:top w:val="nil"/>
              <w:left w:val="single" w:sz="4" w:space="0" w:color="auto"/>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Q1</w:t>
            </w:r>
          </w:p>
        </w:tc>
        <w:tc>
          <w:tcPr>
            <w:tcW w:w="112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260,213</w:t>
            </w:r>
          </w:p>
        </w:tc>
        <w:tc>
          <w:tcPr>
            <w:tcW w:w="79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593</w:t>
            </w:r>
          </w:p>
        </w:tc>
        <w:tc>
          <w:tcPr>
            <w:tcW w:w="945"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84</w:t>
            </w:r>
          </w:p>
        </w:tc>
        <w:tc>
          <w:tcPr>
            <w:tcW w:w="60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113</w:t>
            </w:r>
          </w:p>
        </w:tc>
        <w:tc>
          <w:tcPr>
            <w:tcW w:w="70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61</w:t>
            </w:r>
          </w:p>
        </w:tc>
        <w:tc>
          <w:tcPr>
            <w:tcW w:w="859"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456</w:t>
            </w:r>
          </w:p>
        </w:tc>
        <w:tc>
          <w:tcPr>
            <w:tcW w:w="1162"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739</w:t>
            </w:r>
          </w:p>
        </w:tc>
        <w:tc>
          <w:tcPr>
            <w:tcW w:w="104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1,453</w:t>
            </w:r>
          </w:p>
        </w:tc>
        <w:tc>
          <w:tcPr>
            <w:tcW w:w="768"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249</w:t>
            </w:r>
          </w:p>
        </w:tc>
        <w:tc>
          <w:tcPr>
            <w:tcW w:w="67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3,748</w:t>
            </w:r>
          </w:p>
        </w:tc>
        <w:tc>
          <w:tcPr>
            <w:tcW w:w="64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 xml:space="preserve"> 0.53 </w:t>
            </w:r>
          </w:p>
        </w:tc>
      </w:tr>
      <w:tr w:rsidR="00293542" w:rsidRPr="009630D9" w:rsidTr="00293542">
        <w:trPr>
          <w:trHeight w:val="288"/>
        </w:trPr>
        <w:tc>
          <w:tcPr>
            <w:tcW w:w="899" w:type="dxa"/>
            <w:tcBorders>
              <w:top w:val="nil"/>
              <w:left w:val="single" w:sz="4" w:space="0" w:color="auto"/>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Q2</w:t>
            </w:r>
          </w:p>
        </w:tc>
        <w:tc>
          <w:tcPr>
            <w:tcW w:w="112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375,250</w:t>
            </w:r>
          </w:p>
        </w:tc>
        <w:tc>
          <w:tcPr>
            <w:tcW w:w="79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1,163</w:t>
            </w:r>
          </w:p>
        </w:tc>
        <w:tc>
          <w:tcPr>
            <w:tcW w:w="945"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94</w:t>
            </w:r>
          </w:p>
        </w:tc>
        <w:tc>
          <w:tcPr>
            <w:tcW w:w="60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221</w:t>
            </w:r>
          </w:p>
        </w:tc>
        <w:tc>
          <w:tcPr>
            <w:tcW w:w="70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107</w:t>
            </w:r>
          </w:p>
        </w:tc>
        <w:tc>
          <w:tcPr>
            <w:tcW w:w="859"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308</w:t>
            </w:r>
          </w:p>
        </w:tc>
        <w:tc>
          <w:tcPr>
            <w:tcW w:w="1162"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739</w:t>
            </w:r>
          </w:p>
        </w:tc>
        <w:tc>
          <w:tcPr>
            <w:tcW w:w="104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1,340</w:t>
            </w:r>
          </w:p>
        </w:tc>
        <w:tc>
          <w:tcPr>
            <w:tcW w:w="768"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191</w:t>
            </w:r>
          </w:p>
        </w:tc>
        <w:tc>
          <w:tcPr>
            <w:tcW w:w="67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4,164</w:t>
            </w:r>
          </w:p>
        </w:tc>
        <w:tc>
          <w:tcPr>
            <w:tcW w:w="64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 xml:space="preserve"> 0.59 </w:t>
            </w:r>
          </w:p>
        </w:tc>
      </w:tr>
      <w:tr w:rsidR="00293542" w:rsidRPr="009630D9" w:rsidTr="00293542">
        <w:trPr>
          <w:trHeight w:val="288"/>
        </w:trPr>
        <w:tc>
          <w:tcPr>
            <w:tcW w:w="899" w:type="dxa"/>
            <w:tcBorders>
              <w:top w:val="nil"/>
              <w:left w:val="single" w:sz="4" w:space="0" w:color="auto"/>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Q3</w:t>
            </w:r>
          </w:p>
        </w:tc>
        <w:tc>
          <w:tcPr>
            <w:tcW w:w="112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377,947</w:t>
            </w:r>
          </w:p>
        </w:tc>
        <w:tc>
          <w:tcPr>
            <w:tcW w:w="79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1,723</w:t>
            </w:r>
          </w:p>
        </w:tc>
        <w:tc>
          <w:tcPr>
            <w:tcW w:w="945"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145</w:t>
            </w:r>
          </w:p>
        </w:tc>
        <w:tc>
          <w:tcPr>
            <w:tcW w:w="60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308</w:t>
            </w:r>
          </w:p>
        </w:tc>
        <w:tc>
          <w:tcPr>
            <w:tcW w:w="70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122</w:t>
            </w:r>
          </w:p>
        </w:tc>
        <w:tc>
          <w:tcPr>
            <w:tcW w:w="859"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139</w:t>
            </w:r>
          </w:p>
        </w:tc>
        <w:tc>
          <w:tcPr>
            <w:tcW w:w="1162"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804</w:t>
            </w:r>
          </w:p>
        </w:tc>
        <w:tc>
          <w:tcPr>
            <w:tcW w:w="104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1,081</w:t>
            </w:r>
          </w:p>
        </w:tc>
        <w:tc>
          <w:tcPr>
            <w:tcW w:w="768"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189</w:t>
            </w:r>
          </w:p>
        </w:tc>
        <w:tc>
          <w:tcPr>
            <w:tcW w:w="67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4,511</w:t>
            </w:r>
          </w:p>
        </w:tc>
        <w:tc>
          <w:tcPr>
            <w:tcW w:w="64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 xml:space="preserve"> 0.64 </w:t>
            </w:r>
          </w:p>
        </w:tc>
      </w:tr>
      <w:tr w:rsidR="00293542" w:rsidRPr="009630D9" w:rsidTr="00293542">
        <w:trPr>
          <w:trHeight w:val="288"/>
        </w:trPr>
        <w:tc>
          <w:tcPr>
            <w:tcW w:w="899" w:type="dxa"/>
            <w:tcBorders>
              <w:top w:val="nil"/>
              <w:left w:val="single" w:sz="4" w:space="0" w:color="auto"/>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Q4</w:t>
            </w:r>
          </w:p>
        </w:tc>
        <w:tc>
          <w:tcPr>
            <w:tcW w:w="112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372,637</w:t>
            </w:r>
          </w:p>
        </w:tc>
        <w:tc>
          <w:tcPr>
            <w:tcW w:w="79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3,848</w:t>
            </w:r>
          </w:p>
        </w:tc>
        <w:tc>
          <w:tcPr>
            <w:tcW w:w="945"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186</w:t>
            </w:r>
          </w:p>
        </w:tc>
        <w:tc>
          <w:tcPr>
            <w:tcW w:w="60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490</w:t>
            </w:r>
          </w:p>
        </w:tc>
        <w:tc>
          <w:tcPr>
            <w:tcW w:w="70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502</w:t>
            </w:r>
          </w:p>
        </w:tc>
        <w:tc>
          <w:tcPr>
            <w:tcW w:w="859"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42</w:t>
            </w:r>
          </w:p>
        </w:tc>
        <w:tc>
          <w:tcPr>
            <w:tcW w:w="1162"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706</w:t>
            </w:r>
          </w:p>
        </w:tc>
        <w:tc>
          <w:tcPr>
            <w:tcW w:w="104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1,079</w:t>
            </w:r>
          </w:p>
        </w:tc>
        <w:tc>
          <w:tcPr>
            <w:tcW w:w="768"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237</w:t>
            </w:r>
          </w:p>
        </w:tc>
        <w:tc>
          <w:tcPr>
            <w:tcW w:w="67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color w:val="000000"/>
                <w:sz w:val="20"/>
                <w:szCs w:val="20"/>
              </w:rPr>
            </w:pPr>
            <w:r w:rsidRPr="009630D9">
              <w:rPr>
                <w:rFonts w:ascii="Calibri" w:eastAsia="Times New Roman" w:hAnsi="Calibri" w:cs="Times New Roman"/>
                <w:color w:val="000000"/>
                <w:sz w:val="20"/>
                <w:szCs w:val="20"/>
              </w:rPr>
              <w:t>7,091</w:t>
            </w:r>
          </w:p>
        </w:tc>
        <w:tc>
          <w:tcPr>
            <w:tcW w:w="64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 xml:space="preserve"> 1.00 </w:t>
            </w:r>
          </w:p>
        </w:tc>
      </w:tr>
      <w:tr w:rsidR="00293542" w:rsidRPr="009630D9" w:rsidTr="00293542">
        <w:trPr>
          <w:trHeight w:val="288"/>
        </w:trPr>
        <w:tc>
          <w:tcPr>
            <w:tcW w:w="899" w:type="dxa"/>
            <w:tcBorders>
              <w:top w:val="nil"/>
              <w:left w:val="single" w:sz="4" w:space="0" w:color="auto"/>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Total</w:t>
            </w:r>
          </w:p>
        </w:tc>
        <w:tc>
          <w:tcPr>
            <w:tcW w:w="112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1,386,047</w:t>
            </w:r>
          </w:p>
        </w:tc>
        <w:tc>
          <w:tcPr>
            <w:tcW w:w="79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1,931</w:t>
            </w:r>
          </w:p>
        </w:tc>
        <w:tc>
          <w:tcPr>
            <w:tcW w:w="945"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131</w:t>
            </w:r>
          </w:p>
        </w:tc>
        <w:tc>
          <w:tcPr>
            <w:tcW w:w="606"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297</w:t>
            </w:r>
          </w:p>
        </w:tc>
        <w:tc>
          <w:tcPr>
            <w:tcW w:w="70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209</w:t>
            </w:r>
          </w:p>
        </w:tc>
        <w:tc>
          <w:tcPr>
            <w:tcW w:w="859"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218</w:t>
            </w:r>
          </w:p>
        </w:tc>
        <w:tc>
          <w:tcPr>
            <w:tcW w:w="1162"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748</w:t>
            </w:r>
          </w:p>
        </w:tc>
        <w:tc>
          <w:tcPr>
            <w:tcW w:w="104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1,220</w:t>
            </w:r>
          </w:p>
        </w:tc>
        <w:tc>
          <w:tcPr>
            <w:tcW w:w="768"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214</w:t>
            </w:r>
          </w:p>
        </w:tc>
        <w:tc>
          <w:tcPr>
            <w:tcW w:w="674"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4,967</w:t>
            </w:r>
          </w:p>
        </w:tc>
        <w:tc>
          <w:tcPr>
            <w:tcW w:w="640" w:type="dxa"/>
            <w:tcBorders>
              <w:top w:val="nil"/>
              <w:left w:val="nil"/>
              <w:bottom w:val="single" w:sz="4" w:space="0" w:color="auto"/>
              <w:right w:val="single" w:sz="4" w:space="0" w:color="auto"/>
            </w:tcBorders>
            <w:shd w:val="clear" w:color="auto" w:fill="auto"/>
            <w:vAlign w:val="bottom"/>
            <w:hideMark/>
          </w:tcPr>
          <w:p w:rsidR="00293542" w:rsidRPr="009630D9" w:rsidRDefault="00293542" w:rsidP="002C57B6">
            <w:pPr>
              <w:spacing w:after="0" w:line="240" w:lineRule="auto"/>
              <w:jc w:val="right"/>
              <w:rPr>
                <w:rFonts w:ascii="Calibri" w:eastAsia="Times New Roman" w:hAnsi="Calibri" w:cs="Times New Roman"/>
                <w:b/>
                <w:bCs/>
                <w:color w:val="000000"/>
                <w:sz w:val="20"/>
                <w:szCs w:val="20"/>
              </w:rPr>
            </w:pPr>
            <w:r w:rsidRPr="009630D9">
              <w:rPr>
                <w:rFonts w:ascii="Calibri" w:eastAsia="Times New Roman" w:hAnsi="Calibri" w:cs="Times New Roman"/>
                <w:b/>
                <w:bCs/>
                <w:color w:val="000000"/>
                <w:sz w:val="20"/>
                <w:szCs w:val="20"/>
              </w:rPr>
              <w:t xml:space="preserve"> 0.70 </w:t>
            </w:r>
          </w:p>
        </w:tc>
      </w:tr>
    </w:tbl>
    <w:p w:rsidR="00293542" w:rsidRDefault="00293542" w:rsidP="00293542">
      <w:pPr>
        <w:spacing w:after="0"/>
      </w:pPr>
    </w:p>
    <w:p w:rsidR="00340BE7" w:rsidRDefault="00293542" w:rsidP="00293542">
      <w:pPr>
        <w:jc w:val="both"/>
        <w:rPr>
          <w:sz w:val="24"/>
          <w:szCs w:val="24"/>
        </w:rPr>
      </w:pPr>
      <w:r>
        <w:rPr>
          <w:sz w:val="24"/>
          <w:szCs w:val="24"/>
        </w:rPr>
        <w:t xml:space="preserve">The first characteristic of the Table that is worth noting is that the population living in the </w:t>
      </w:r>
      <w:r w:rsidR="0013060E">
        <w:rPr>
          <w:sz w:val="24"/>
          <w:szCs w:val="24"/>
        </w:rPr>
        <w:t>quartile containing the poorest AGs (</w:t>
      </w:r>
      <w:r>
        <w:rPr>
          <w:sz w:val="24"/>
          <w:szCs w:val="24"/>
        </w:rPr>
        <w:t>1</w:t>
      </w:r>
      <w:r w:rsidRPr="00293542">
        <w:rPr>
          <w:sz w:val="24"/>
          <w:szCs w:val="24"/>
          <w:vertAlign w:val="superscript"/>
        </w:rPr>
        <w:t>st</w:t>
      </w:r>
      <w:r>
        <w:rPr>
          <w:sz w:val="24"/>
          <w:szCs w:val="24"/>
        </w:rPr>
        <w:t xml:space="preserve"> </w:t>
      </w:r>
      <w:r w:rsidR="0013060E">
        <w:rPr>
          <w:sz w:val="24"/>
          <w:szCs w:val="24"/>
        </w:rPr>
        <w:t xml:space="preserve">) </w:t>
      </w:r>
      <w:r>
        <w:rPr>
          <w:sz w:val="24"/>
          <w:szCs w:val="24"/>
        </w:rPr>
        <w:t xml:space="preserve">is about 100,000 less than those </w:t>
      </w:r>
      <w:r w:rsidR="0013060E">
        <w:rPr>
          <w:sz w:val="24"/>
          <w:szCs w:val="24"/>
        </w:rPr>
        <w:t>of the richer ones.</w:t>
      </w:r>
      <w:r>
        <w:rPr>
          <w:sz w:val="24"/>
          <w:szCs w:val="24"/>
        </w:rPr>
        <w:t xml:space="preserve"> This means</w:t>
      </w:r>
      <w:r w:rsidR="0013060E">
        <w:rPr>
          <w:sz w:val="24"/>
          <w:szCs w:val="24"/>
        </w:rPr>
        <w:t xml:space="preserve"> </w:t>
      </w:r>
      <w:r w:rsidR="0013060E">
        <w:rPr>
          <w:sz w:val="24"/>
          <w:szCs w:val="24"/>
        </w:rPr>
        <w:lastRenderedPageBreak/>
        <w:t xml:space="preserve">that AG </w:t>
      </w:r>
      <w:r>
        <w:rPr>
          <w:sz w:val="24"/>
          <w:szCs w:val="24"/>
        </w:rPr>
        <w:t>in the 1</w:t>
      </w:r>
      <w:r w:rsidRPr="009215DD">
        <w:rPr>
          <w:sz w:val="24"/>
          <w:szCs w:val="24"/>
          <w:vertAlign w:val="superscript"/>
        </w:rPr>
        <w:t>st</w:t>
      </w:r>
      <w:r>
        <w:rPr>
          <w:sz w:val="24"/>
          <w:szCs w:val="24"/>
        </w:rPr>
        <w:t xml:space="preserve"> quartile</w:t>
      </w:r>
      <w:r w:rsidR="0013060E">
        <w:rPr>
          <w:sz w:val="24"/>
          <w:szCs w:val="24"/>
        </w:rPr>
        <w:t xml:space="preserve"> have an average population</w:t>
      </w:r>
      <w:r w:rsidR="00DB2151">
        <w:rPr>
          <w:sz w:val="24"/>
          <w:szCs w:val="24"/>
        </w:rPr>
        <w:t xml:space="preserve"> of c.</w:t>
      </w:r>
      <w:r w:rsidR="0013060E">
        <w:rPr>
          <w:sz w:val="24"/>
          <w:szCs w:val="24"/>
        </w:rPr>
        <w:t xml:space="preserve"> </w:t>
      </w:r>
      <w:r>
        <w:rPr>
          <w:sz w:val="24"/>
          <w:szCs w:val="24"/>
        </w:rPr>
        <w:t>6,500 people</w:t>
      </w:r>
      <w:r w:rsidR="00DB2151">
        <w:rPr>
          <w:sz w:val="24"/>
          <w:szCs w:val="24"/>
        </w:rPr>
        <w:t>,</w:t>
      </w:r>
      <w:r>
        <w:rPr>
          <w:sz w:val="24"/>
          <w:szCs w:val="24"/>
        </w:rPr>
        <w:t xml:space="preserve"> while those of</w:t>
      </w:r>
      <w:r w:rsidR="0013060E">
        <w:rPr>
          <w:sz w:val="24"/>
          <w:szCs w:val="24"/>
        </w:rPr>
        <w:t xml:space="preserve"> the other quartiles are about a third large</w:t>
      </w:r>
      <w:r w:rsidR="00DB2151">
        <w:rPr>
          <w:sz w:val="24"/>
          <w:szCs w:val="24"/>
        </w:rPr>
        <w:t>r (</w:t>
      </w:r>
      <w:r w:rsidR="0013060E">
        <w:rPr>
          <w:sz w:val="24"/>
          <w:szCs w:val="24"/>
        </w:rPr>
        <w:t xml:space="preserve">average population of </w:t>
      </w:r>
      <w:r w:rsidR="00DB2151">
        <w:rPr>
          <w:sz w:val="24"/>
          <w:szCs w:val="24"/>
        </w:rPr>
        <w:t>c.</w:t>
      </w:r>
      <w:r>
        <w:rPr>
          <w:sz w:val="24"/>
          <w:szCs w:val="24"/>
        </w:rPr>
        <w:t xml:space="preserve"> 9,400</w:t>
      </w:r>
      <w:r w:rsidR="00DB2151">
        <w:rPr>
          <w:sz w:val="24"/>
          <w:szCs w:val="24"/>
        </w:rPr>
        <w:t>)</w:t>
      </w:r>
      <w:r w:rsidR="0013060E">
        <w:rPr>
          <w:sz w:val="24"/>
          <w:szCs w:val="24"/>
        </w:rPr>
        <w:t xml:space="preserve">. The second </w:t>
      </w:r>
      <w:r w:rsidR="00DB2151">
        <w:rPr>
          <w:sz w:val="24"/>
          <w:szCs w:val="24"/>
        </w:rPr>
        <w:t xml:space="preserve">striking feature </w:t>
      </w:r>
      <w:r w:rsidR="0013060E">
        <w:rPr>
          <w:sz w:val="24"/>
          <w:szCs w:val="24"/>
        </w:rPr>
        <w:t xml:space="preserve">of the table </w:t>
      </w:r>
      <w:r w:rsidR="00DB2151">
        <w:rPr>
          <w:sz w:val="24"/>
          <w:szCs w:val="24"/>
        </w:rPr>
        <w:t>concerns the odd way PIT revenue</w:t>
      </w:r>
      <w:r w:rsidR="003B4ACF">
        <w:rPr>
          <w:sz w:val="24"/>
          <w:szCs w:val="24"/>
        </w:rPr>
        <w:t>s</w:t>
      </w:r>
      <w:r w:rsidR="00DB2151">
        <w:rPr>
          <w:sz w:val="24"/>
          <w:szCs w:val="24"/>
        </w:rPr>
        <w:t xml:space="preserve"> i</w:t>
      </w:r>
      <w:r w:rsidR="00340BE7">
        <w:rPr>
          <w:sz w:val="24"/>
          <w:szCs w:val="24"/>
        </w:rPr>
        <w:t>ncrease as one moves from the poorest to the richest quartile</w:t>
      </w:r>
      <w:r w:rsidR="00DB2151">
        <w:rPr>
          <w:sz w:val="24"/>
          <w:szCs w:val="24"/>
        </w:rPr>
        <w:t xml:space="preserve">: </w:t>
      </w:r>
      <w:r w:rsidR="00340BE7">
        <w:rPr>
          <w:sz w:val="24"/>
          <w:szCs w:val="24"/>
        </w:rPr>
        <w:t xml:space="preserve"> </w:t>
      </w:r>
      <w:r w:rsidR="00DB2151">
        <w:rPr>
          <w:sz w:val="24"/>
          <w:szCs w:val="24"/>
        </w:rPr>
        <w:t xml:space="preserve">Between each of the first three quartiles, PIT </w:t>
      </w:r>
      <w:r w:rsidR="00340BE7">
        <w:rPr>
          <w:sz w:val="24"/>
          <w:szCs w:val="24"/>
        </w:rPr>
        <w:t>revenue</w:t>
      </w:r>
      <w:r w:rsidR="003B4ACF">
        <w:rPr>
          <w:sz w:val="24"/>
          <w:szCs w:val="24"/>
        </w:rPr>
        <w:t>s</w:t>
      </w:r>
      <w:r w:rsidR="00DB2151">
        <w:rPr>
          <w:sz w:val="24"/>
          <w:szCs w:val="24"/>
        </w:rPr>
        <w:t xml:space="preserve"> in</w:t>
      </w:r>
      <w:r w:rsidR="00340BE7">
        <w:rPr>
          <w:sz w:val="24"/>
          <w:szCs w:val="24"/>
        </w:rPr>
        <w:t>crease by about 600 UAH</w:t>
      </w:r>
      <w:r w:rsidR="003B4ACF">
        <w:rPr>
          <w:sz w:val="24"/>
          <w:szCs w:val="24"/>
        </w:rPr>
        <w:t xml:space="preserve"> for each quartile,</w:t>
      </w:r>
      <w:r w:rsidR="00CD63FD">
        <w:rPr>
          <w:sz w:val="24"/>
          <w:szCs w:val="24"/>
        </w:rPr>
        <w:t xml:space="preserve"> before more than doubling </w:t>
      </w:r>
      <w:r w:rsidR="00340BE7">
        <w:rPr>
          <w:sz w:val="24"/>
          <w:szCs w:val="24"/>
        </w:rPr>
        <w:t>between the 3</w:t>
      </w:r>
      <w:r w:rsidR="00340BE7" w:rsidRPr="00340BE7">
        <w:rPr>
          <w:sz w:val="24"/>
          <w:szCs w:val="24"/>
          <w:vertAlign w:val="superscript"/>
        </w:rPr>
        <w:t>rd</w:t>
      </w:r>
      <w:r w:rsidR="00340BE7">
        <w:rPr>
          <w:sz w:val="24"/>
          <w:szCs w:val="24"/>
        </w:rPr>
        <w:t xml:space="preserve"> and the 4</w:t>
      </w:r>
      <w:r w:rsidR="00340BE7" w:rsidRPr="00340BE7">
        <w:rPr>
          <w:sz w:val="24"/>
          <w:szCs w:val="24"/>
          <w:vertAlign w:val="superscript"/>
        </w:rPr>
        <w:t>th</w:t>
      </w:r>
      <w:r w:rsidR="00CD63FD">
        <w:rPr>
          <w:sz w:val="24"/>
          <w:szCs w:val="24"/>
          <w:vertAlign w:val="superscript"/>
        </w:rPr>
        <w:t xml:space="preserve"> </w:t>
      </w:r>
      <w:r w:rsidR="00CD63FD">
        <w:rPr>
          <w:sz w:val="24"/>
          <w:szCs w:val="24"/>
        </w:rPr>
        <w:t xml:space="preserve">quartiles (1700 to 3800 UAH) </w:t>
      </w:r>
      <w:r w:rsidR="00340BE7">
        <w:rPr>
          <w:sz w:val="24"/>
          <w:szCs w:val="24"/>
        </w:rPr>
        <w:t xml:space="preserve"> </w:t>
      </w:r>
    </w:p>
    <w:p w:rsidR="00CD63FD" w:rsidRDefault="00340BE7" w:rsidP="007831F4">
      <w:pPr>
        <w:jc w:val="both"/>
        <w:rPr>
          <w:sz w:val="24"/>
          <w:szCs w:val="24"/>
        </w:rPr>
      </w:pPr>
      <w:r>
        <w:rPr>
          <w:sz w:val="24"/>
          <w:szCs w:val="24"/>
        </w:rPr>
        <w:t>Taken together, the particularly small populations of the AG in the 1</w:t>
      </w:r>
      <w:r w:rsidRPr="00340BE7">
        <w:rPr>
          <w:sz w:val="24"/>
          <w:szCs w:val="24"/>
          <w:vertAlign w:val="superscript"/>
        </w:rPr>
        <w:t>st</w:t>
      </w:r>
      <w:r>
        <w:rPr>
          <w:sz w:val="24"/>
          <w:szCs w:val="24"/>
        </w:rPr>
        <w:t xml:space="preserve"> quartile, and the particularly high revenues from shared taxes</w:t>
      </w:r>
      <w:r w:rsidR="007831F4">
        <w:rPr>
          <w:sz w:val="24"/>
          <w:szCs w:val="24"/>
        </w:rPr>
        <w:t xml:space="preserve"> of those in the 4</w:t>
      </w:r>
      <w:r w:rsidR="007831F4" w:rsidRPr="007831F4">
        <w:rPr>
          <w:sz w:val="24"/>
          <w:szCs w:val="24"/>
          <w:vertAlign w:val="superscript"/>
        </w:rPr>
        <w:t>th</w:t>
      </w:r>
      <w:r w:rsidR="007831F4">
        <w:rPr>
          <w:sz w:val="24"/>
          <w:szCs w:val="24"/>
        </w:rPr>
        <w:t xml:space="preserve"> quartile suggests that volunt</w:t>
      </w:r>
      <w:r w:rsidR="003B4ACF">
        <w:rPr>
          <w:sz w:val="24"/>
          <w:szCs w:val="24"/>
        </w:rPr>
        <w:t xml:space="preserve">ary amalgamation is allowing gromada to </w:t>
      </w:r>
      <w:r w:rsidR="007831F4">
        <w:rPr>
          <w:sz w:val="24"/>
          <w:szCs w:val="24"/>
        </w:rPr>
        <w:t xml:space="preserve">self-sorting into AGs that are primarily rural, and AGs </w:t>
      </w:r>
      <w:r w:rsidR="00B97138">
        <w:rPr>
          <w:sz w:val="24"/>
          <w:szCs w:val="24"/>
        </w:rPr>
        <w:t xml:space="preserve">that try to limit themselves to those gromada immediately adjacent to a </w:t>
      </w:r>
      <w:r w:rsidR="007831F4">
        <w:rPr>
          <w:sz w:val="24"/>
          <w:szCs w:val="24"/>
        </w:rPr>
        <w:t>small town</w:t>
      </w:r>
      <w:r w:rsidR="00431E7F">
        <w:rPr>
          <w:sz w:val="24"/>
          <w:szCs w:val="24"/>
        </w:rPr>
        <w:t>.</w:t>
      </w:r>
      <w:r w:rsidR="007831F4">
        <w:rPr>
          <w:sz w:val="24"/>
          <w:szCs w:val="24"/>
        </w:rPr>
        <w:t xml:space="preserve"> </w:t>
      </w:r>
      <w:r w:rsidR="00CD63FD">
        <w:rPr>
          <w:sz w:val="24"/>
          <w:szCs w:val="24"/>
        </w:rPr>
        <w:t>Exactly h</w:t>
      </w:r>
      <w:r w:rsidR="00431E7F">
        <w:rPr>
          <w:sz w:val="24"/>
          <w:szCs w:val="24"/>
        </w:rPr>
        <w:t>ow much</w:t>
      </w:r>
      <w:r w:rsidR="003B4ACF">
        <w:rPr>
          <w:sz w:val="24"/>
          <w:szCs w:val="24"/>
        </w:rPr>
        <w:t xml:space="preserve"> of this pattern is being driven by self-sorting, and how much of it is simply a product of the fact that in many areas of country</w:t>
      </w:r>
      <w:r w:rsidR="00CD63FD">
        <w:rPr>
          <w:sz w:val="24"/>
          <w:szCs w:val="24"/>
        </w:rPr>
        <w:t xml:space="preserve"> </w:t>
      </w:r>
      <w:r w:rsidR="00B97138">
        <w:rPr>
          <w:sz w:val="24"/>
          <w:szCs w:val="24"/>
        </w:rPr>
        <w:t>there may be</w:t>
      </w:r>
      <w:r w:rsidR="003B4ACF">
        <w:rPr>
          <w:sz w:val="24"/>
          <w:szCs w:val="24"/>
        </w:rPr>
        <w:t xml:space="preserve"> so few small towns that </w:t>
      </w:r>
      <w:r w:rsidR="00B97138">
        <w:rPr>
          <w:sz w:val="24"/>
          <w:szCs w:val="24"/>
        </w:rPr>
        <w:t>rural settlements can only amalgamate with themselves</w:t>
      </w:r>
      <w:r w:rsidR="003B4ACF">
        <w:rPr>
          <w:sz w:val="24"/>
          <w:szCs w:val="24"/>
        </w:rPr>
        <w:t>, is hard to say.</w:t>
      </w:r>
    </w:p>
    <w:p w:rsidR="007831F4" w:rsidRDefault="00B97138" w:rsidP="007831F4">
      <w:pPr>
        <w:jc w:val="both"/>
        <w:rPr>
          <w:sz w:val="24"/>
          <w:szCs w:val="24"/>
        </w:rPr>
      </w:pPr>
      <w:r>
        <w:rPr>
          <w:sz w:val="24"/>
          <w:szCs w:val="24"/>
        </w:rPr>
        <w:t xml:space="preserve">Nonetheless, </w:t>
      </w:r>
      <w:r w:rsidR="00431E7F">
        <w:rPr>
          <w:sz w:val="24"/>
          <w:szCs w:val="24"/>
        </w:rPr>
        <w:t xml:space="preserve">press reports suggest </w:t>
      </w:r>
      <w:r>
        <w:rPr>
          <w:sz w:val="24"/>
          <w:szCs w:val="24"/>
        </w:rPr>
        <w:t xml:space="preserve">that </w:t>
      </w:r>
      <w:r w:rsidR="00F8472B">
        <w:rPr>
          <w:sz w:val="24"/>
          <w:szCs w:val="24"/>
        </w:rPr>
        <w:t>local politics is driving at least some of this self-sorting, and that the tendencies that can be seen in the tables are the product of more than “</w:t>
      </w:r>
      <w:r>
        <w:rPr>
          <w:sz w:val="24"/>
          <w:szCs w:val="24"/>
        </w:rPr>
        <w:t>objective circumstances</w:t>
      </w:r>
      <w:r w:rsidR="00F8472B">
        <w:rPr>
          <w:sz w:val="24"/>
          <w:szCs w:val="24"/>
        </w:rPr>
        <w:t>”</w:t>
      </w:r>
      <w:r w:rsidR="004C59D7">
        <w:rPr>
          <w:rStyle w:val="FootnoteReference"/>
          <w:sz w:val="24"/>
          <w:szCs w:val="24"/>
        </w:rPr>
        <w:footnoteReference w:id="18"/>
      </w:r>
      <w:r w:rsidR="00431E7F">
        <w:rPr>
          <w:sz w:val="24"/>
          <w:szCs w:val="24"/>
        </w:rPr>
        <w:t>. In short, some p</w:t>
      </w:r>
      <w:r w:rsidR="007831F4">
        <w:rPr>
          <w:sz w:val="24"/>
          <w:szCs w:val="24"/>
        </w:rPr>
        <w:t xml:space="preserve">oorer, rural and less densely populated jurisdictions </w:t>
      </w:r>
      <w:r w:rsidR="00431E7F">
        <w:rPr>
          <w:sz w:val="24"/>
          <w:szCs w:val="24"/>
        </w:rPr>
        <w:t>are resisting amalgamation</w:t>
      </w:r>
      <w:r w:rsidR="007831F4">
        <w:rPr>
          <w:sz w:val="24"/>
          <w:szCs w:val="24"/>
        </w:rPr>
        <w:t xml:space="preserve"> with nearby towns because they are afraid that that their (political) interests will be ignored (or voted down) by</w:t>
      </w:r>
      <w:r w:rsidR="00431E7F">
        <w:rPr>
          <w:sz w:val="24"/>
          <w:szCs w:val="24"/>
        </w:rPr>
        <w:t xml:space="preserve"> their</w:t>
      </w:r>
      <w:r w:rsidR="00E346DA">
        <w:rPr>
          <w:sz w:val="24"/>
          <w:szCs w:val="24"/>
        </w:rPr>
        <w:t xml:space="preserve"> more</w:t>
      </w:r>
      <w:r w:rsidR="007831F4">
        <w:rPr>
          <w:sz w:val="24"/>
          <w:szCs w:val="24"/>
        </w:rPr>
        <w:t xml:space="preserve"> urban </w:t>
      </w:r>
      <w:r w:rsidR="00431E7F">
        <w:rPr>
          <w:sz w:val="24"/>
          <w:szCs w:val="24"/>
        </w:rPr>
        <w:t xml:space="preserve">neighbors. </w:t>
      </w:r>
      <w:r w:rsidR="00E346DA">
        <w:rPr>
          <w:sz w:val="24"/>
          <w:szCs w:val="24"/>
        </w:rPr>
        <w:t>And</w:t>
      </w:r>
      <w:r w:rsidR="00431E7F">
        <w:rPr>
          <w:sz w:val="24"/>
          <w:szCs w:val="24"/>
        </w:rPr>
        <w:t xml:space="preserve"> some small towns with </w:t>
      </w:r>
      <w:r w:rsidR="007831F4">
        <w:rPr>
          <w:sz w:val="24"/>
          <w:szCs w:val="24"/>
        </w:rPr>
        <w:t>relatively high lev</w:t>
      </w:r>
      <w:r w:rsidR="00431E7F">
        <w:rPr>
          <w:sz w:val="24"/>
          <w:szCs w:val="24"/>
        </w:rPr>
        <w:t>els of official employment are res</w:t>
      </w:r>
      <w:r w:rsidR="00E346DA">
        <w:rPr>
          <w:sz w:val="24"/>
          <w:szCs w:val="24"/>
        </w:rPr>
        <w:t>isting amalgamation with</w:t>
      </w:r>
      <w:r w:rsidR="00431E7F">
        <w:rPr>
          <w:sz w:val="24"/>
          <w:szCs w:val="24"/>
        </w:rPr>
        <w:t xml:space="preserve"> the more rural areas around them because they understand that</w:t>
      </w:r>
      <w:r w:rsidR="00E346DA">
        <w:rPr>
          <w:sz w:val="24"/>
          <w:szCs w:val="24"/>
        </w:rPr>
        <w:t xml:space="preserve"> by</w:t>
      </w:r>
      <w:r w:rsidR="00431E7F">
        <w:rPr>
          <w:sz w:val="24"/>
          <w:szCs w:val="24"/>
        </w:rPr>
        <w:t xml:space="preserve"> doing so they will</w:t>
      </w:r>
      <w:r w:rsidR="00E346DA">
        <w:rPr>
          <w:sz w:val="24"/>
          <w:szCs w:val="24"/>
        </w:rPr>
        <w:t xml:space="preserve"> avoid having </w:t>
      </w:r>
      <w:r w:rsidR="00431E7F">
        <w:rPr>
          <w:sz w:val="24"/>
          <w:szCs w:val="24"/>
        </w:rPr>
        <w:t xml:space="preserve">to spend their tax revenues </w:t>
      </w:r>
      <w:r w:rsidR="00E346DA">
        <w:rPr>
          <w:sz w:val="24"/>
          <w:szCs w:val="24"/>
        </w:rPr>
        <w:t xml:space="preserve">on </w:t>
      </w:r>
      <w:r w:rsidR="00431E7F">
        <w:rPr>
          <w:sz w:val="24"/>
          <w:szCs w:val="24"/>
        </w:rPr>
        <w:t>their poorer neighbors</w:t>
      </w:r>
      <w:r w:rsidR="00431E7F">
        <w:rPr>
          <w:rStyle w:val="FootnoteReference"/>
          <w:sz w:val="24"/>
          <w:szCs w:val="24"/>
        </w:rPr>
        <w:footnoteReference w:id="19"/>
      </w:r>
      <w:r w:rsidR="00431E7F">
        <w:rPr>
          <w:sz w:val="24"/>
          <w:szCs w:val="24"/>
        </w:rPr>
        <w:t xml:space="preserve">. </w:t>
      </w:r>
    </w:p>
    <w:p w:rsidR="001A37F1" w:rsidRDefault="004C59D7" w:rsidP="008F32C1">
      <w:pPr>
        <w:jc w:val="both"/>
        <w:rPr>
          <w:sz w:val="24"/>
          <w:szCs w:val="24"/>
        </w:rPr>
      </w:pPr>
      <w:r>
        <w:rPr>
          <w:sz w:val="24"/>
          <w:szCs w:val="24"/>
        </w:rPr>
        <w:t xml:space="preserve">To be sure, and as can be seen from the table, the allocation of the equalization and education grants are working to flatten the </w:t>
      </w:r>
      <w:r w:rsidR="00CD63FD">
        <w:rPr>
          <w:sz w:val="24"/>
          <w:szCs w:val="24"/>
        </w:rPr>
        <w:t xml:space="preserve">income </w:t>
      </w:r>
      <w:r>
        <w:rPr>
          <w:sz w:val="24"/>
          <w:szCs w:val="24"/>
        </w:rPr>
        <w:t xml:space="preserve">disparities generated by the differences in </w:t>
      </w:r>
      <w:r w:rsidR="00CD63FD">
        <w:rPr>
          <w:sz w:val="24"/>
          <w:szCs w:val="24"/>
        </w:rPr>
        <w:t xml:space="preserve">AG tax bases. </w:t>
      </w:r>
      <w:r>
        <w:rPr>
          <w:sz w:val="24"/>
          <w:szCs w:val="24"/>
        </w:rPr>
        <w:t xml:space="preserve"> This</w:t>
      </w:r>
      <w:r w:rsidR="00F8472B">
        <w:rPr>
          <w:sz w:val="24"/>
          <w:szCs w:val="24"/>
        </w:rPr>
        <w:t xml:space="preserve"> is good news and</w:t>
      </w:r>
      <w:r>
        <w:rPr>
          <w:sz w:val="24"/>
          <w:szCs w:val="24"/>
        </w:rPr>
        <w:t xml:space="preserve"> means that the </w:t>
      </w:r>
      <w:r w:rsidR="00102829">
        <w:rPr>
          <w:sz w:val="24"/>
          <w:szCs w:val="24"/>
        </w:rPr>
        <w:t>equalization grant is being allocated accor</w:t>
      </w:r>
      <w:r>
        <w:rPr>
          <w:sz w:val="24"/>
          <w:szCs w:val="24"/>
        </w:rPr>
        <w:t xml:space="preserve">ding to objective indicators of relative wealth (primarily the per capita </w:t>
      </w:r>
      <w:r w:rsidR="00102829">
        <w:rPr>
          <w:sz w:val="24"/>
          <w:szCs w:val="24"/>
        </w:rPr>
        <w:t xml:space="preserve">yield of </w:t>
      </w:r>
      <w:r>
        <w:rPr>
          <w:sz w:val="24"/>
          <w:szCs w:val="24"/>
        </w:rPr>
        <w:t>PIT)</w:t>
      </w:r>
      <w:r w:rsidR="00F8472B">
        <w:rPr>
          <w:sz w:val="24"/>
          <w:szCs w:val="24"/>
        </w:rPr>
        <w:t xml:space="preserve">. It also means </w:t>
      </w:r>
      <w:r w:rsidR="00102829">
        <w:rPr>
          <w:sz w:val="24"/>
          <w:szCs w:val="24"/>
        </w:rPr>
        <w:t>that more of the education grant is going to poorer</w:t>
      </w:r>
      <w:r>
        <w:rPr>
          <w:sz w:val="24"/>
          <w:szCs w:val="24"/>
        </w:rPr>
        <w:t>,</w:t>
      </w:r>
      <w:r w:rsidR="00CD63FD">
        <w:rPr>
          <w:sz w:val="24"/>
          <w:szCs w:val="24"/>
        </w:rPr>
        <w:t xml:space="preserve"> more</w:t>
      </w:r>
      <w:r w:rsidR="00102829">
        <w:rPr>
          <w:sz w:val="24"/>
          <w:szCs w:val="24"/>
        </w:rPr>
        <w:t xml:space="preserve"> sparsely populated jurisdictions where the costs of schooling are higher.</w:t>
      </w:r>
      <w:r>
        <w:rPr>
          <w:sz w:val="24"/>
          <w:szCs w:val="24"/>
        </w:rPr>
        <w:t xml:space="preserve"> As a result, the total per capita inc</w:t>
      </w:r>
      <w:r w:rsidR="001A37F1">
        <w:rPr>
          <w:sz w:val="24"/>
          <w:szCs w:val="24"/>
        </w:rPr>
        <w:t xml:space="preserve">ome of all quartiles is much flatter than it would be without these additional revenues. Nonetheless, and over time, the more the consolidation process allows gromada to self-sort into entirely rural AGs on the one hand, and </w:t>
      </w:r>
      <w:r w:rsidR="00EE09E1">
        <w:rPr>
          <w:sz w:val="24"/>
          <w:szCs w:val="24"/>
        </w:rPr>
        <w:lastRenderedPageBreak/>
        <w:t xml:space="preserve">richer </w:t>
      </w:r>
      <w:r w:rsidR="001A37F1">
        <w:rPr>
          <w:sz w:val="24"/>
          <w:szCs w:val="24"/>
        </w:rPr>
        <w:t xml:space="preserve">AGs </w:t>
      </w:r>
      <w:r w:rsidR="00EE09E1">
        <w:rPr>
          <w:sz w:val="24"/>
          <w:szCs w:val="24"/>
        </w:rPr>
        <w:t xml:space="preserve">centered more </w:t>
      </w:r>
      <w:r w:rsidR="00CD63FD">
        <w:rPr>
          <w:sz w:val="24"/>
          <w:szCs w:val="24"/>
        </w:rPr>
        <w:t xml:space="preserve">or less </w:t>
      </w:r>
      <w:r w:rsidR="00EE09E1">
        <w:rPr>
          <w:sz w:val="24"/>
          <w:szCs w:val="24"/>
        </w:rPr>
        <w:t>exclusively</w:t>
      </w:r>
      <w:r w:rsidR="001A37F1">
        <w:rPr>
          <w:sz w:val="24"/>
          <w:szCs w:val="24"/>
        </w:rPr>
        <w:t xml:space="preserve"> </w:t>
      </w:r>
      <w:r w:rsidR="00CD63FD">
        <w:rPr>
          <w:sz w:val="24"/>
          <w:szCs w:val="24"/>
        </w:rPr>
        <w:t>around</w:t>
      </w:r>
      <w:r w:rsidR="00EE09E1">
        <w:rPr>
          <w:sz w:val="24"/>
          <w:szCs w:val="24"/>
        </w:rPr>
        <w:t xml:space="preserve"> a</w:t>
      </w:r>
      <w:r w:rsidR="001A37F1">
        <w:rPr>
          <w:sz w:val="24"/>
          <w:szCs w:val="24"/>
        </w:rPr>
        <w:t xml:space="preserve"> small town, the more it will cost the national government to maint</w:t>
      </w:r>
      <w:r w:rsidR="00EE09E1">
        <w:rPr>
          <w:sz w:val="24"/>
          <w:szCs w:val="24"/>
        </w:rPr>
        <w:t>ain some measure of horizontal</w:t>
      </w:r>
      <w:r w:rsidR="00E95393">
        <w:rPr>
          <w:sz w:val="24"/>
          <w:szCs w:val="24"/>
        </w:rPr>
        <w:t xml:space="preserve"> e</w:t>
      </w:r>
      <w:r w:rsidR="001A37F1">
        <w:rPr>
          <w:sz w:val="24"/>
          <w:szCs w:val="24"/>
        </w:rPr>
        <w:t xml:space="preserve">quity between them. </w:t>
      </w:r>
    </w:p>
    <w:p w:rsidR="00C10BE2" w:rsidRDefault="007C0B69" w:rsidP="007C0B69">
      <w:pPr>
        <w:pStyle w:val="Heading1"/>
        <w:numPr>
          <w:ilvl w:val="0"/>
          <w:numId w:val="4"/>
        </w:numPr>
      </w:pPr>
      <w:r>
        <w:t>Whither “Decentralization” in Ukraine</w:t>
      </w:r>
    </w:p>
    <w:p w:rsidR="007C0B69" w:rsidRDefault="007C0B69" w:rsidP="007C0B69">
      <w:pPr>
        <w:spacing w:after="0"/>
      </w:pPr>
    </w:p>
    <w:p w:rsidR="004A71A6" w:rsidRDefault="007C0B69" w:rsidP="007C0B69">
      <w:pPr>
        <w:jc w:val="both"/>
        <w:rPr>
          <w:sz w:val="24"/>
          <w:szCs w:val="24"/>
        </w:rPr>
      </w:pPr>
      <w:r>
        <w:rPr>
          <w:sz w:val="24"/>
          <w:szCs w:val="24"/>
        </w:rPr>
        <w:t xml:space="preserve">“Decentralization” is not a </w:t>
      </w:r>
      <w:r w:rsidR="004A71A6">
        <w:rPr>
          <w:sz w:val="24"/>
          <w:szCs w:val="24"/>
        </w:rPr>
        <w:t xml:space="preserve">new </w:t>
      </w:r>
      <w:r>
        <w:rPr>
          <w:sz w:val="24"/>
          <w:szCs w:val="24"/>
        </w:rPr>
        <w:t xml:space="preserve">problem for Ukraine. Nor has it ever been primarily a financial one. Instead, </w:t>
      </w:r>
      <w:r w:rsidR="004A71A6">
        <w:rPr>
          <w:sz w:val="24"/>
          <w:szCs w:val="24"/>
        </w:rPr>
        <w:t xml:space="preserve">the major problems </w:t>
      </w:r>
      <w:r>
        <w:rPr>
          <w:sz w:val="24"/>
          <w:szCs w:val="24"/>
        </w:rPr>
        <w:t xml:space="preserve">have always centered around </w:t>
      </w:r>
      <w:r w:rsidR="00CD63FD">
        <w:rPr>
          <w:sz w:val="24"/>
          <w:szCs w:val="24"/>
        </w:rPr>
        <w:t>three</w:t>
      </w:r>
      <w:r>
        <w:rPr>
          <w:sz w:val="24"/>
          <w:szCs w:val="24"/>
        </w:rPr>
        <w:t xml:space="preserve"> questions</w:t>
      </w:r>
      <w:r w:rsidR="004A71A6">
        <w:rPr>
          <w:sz w:val="24"/>
          <w:szCs w:val="24"/>
        </w:rPr>
        <w:t xml:space="preserve"> that remain to be resolved. The first is</w:t>
      </w:r>
      <w:r>
        <w:rPr>
          <w:sz w:val="24"/>
          <w:szCs w:val="24"/>
        </w:rPr>
        <w:t xml:space="preserve"> </w:t>
      </w:r>
      <w:r w:rsidR="004A71A6">
        <w:rPr>
          <w:sz w:val="24"/>
          <w:szCs w:val="24"/>
        </w:rPr>
        <w:t xml:space="preserve">which subnational governments should really be considered independent local governments, and which should remain territorial arms of the national state. </w:t>
      </w:r>
      <w:r w:rsidR="00CD63FD">
        <w:rPr>
          <w:sz w:val="24"/>
          <w:szCs w:val="24"/>
        </w:rPr>
        <w:t>T</w:t>
      </w:r>
      <w:r w:rsidR="004A71A6">
        <w:rPr>
          <w:sz w:val="24"/>
          <w:szCs w:val="24"/>
        </w:rPr>
        <w:t>he second question, is which public service responsibilities should be a</w:t>
      </w:r>
      <w:r w:rsidR="0045018E">
        <w:rPr>
          <w:sz w:val="24"/>
          <w:szCs w:val="24"/>
        </w:rPr>
        <w:t>ssigned to each type</w:t>
      </w:r>
      <w:r w:rsidR="004A71A6">
        <w:rPr>
          <w:sz w:val="24"/>
          <w:szCs w:val="24"/>
        </w:rPr>
        <w:t xml:space="preserve"> of subnational government.</w:t>
      </w:r>
      <w:r w:rsidR="00CD63FD">
        <w:rPr>
          <w:sz w:val="24"/>
          <w:szCs w:val="24"/>
        </w:rPr>
        <w:t xml:space="preserve"> And the third is how to consolidate rural gromada into units </w:t>
      </w:r>
      <w:r w:rsidR="00CC62F4">
        <w:rPr>
          <w:sz w:val="24"/>
          <w:szCs w:val="24"/>
        </w:rPr>
        <w:t>large enough to provide</w:t>
      </w:r>
      <w:r w:rsidR="00CD63FD">
        <w:rPr>
          <w:sz w:val="24"/>
          <w:szCs w:val="24"/>
        </w:rPr>
        <w:t xml:space="preserve"> basic </w:t>
      </w:r>
      <w:r w:rsidR="00CC62F4">
        <w:rPr>
          <w:sz w:val="24"/>
          <w:szCs w:val="24"/>
        </w:rPr>
        <w:t>public services.</w:t>
      </w:r>
    </w:p>
    <w:p w:rsidR="00914D2C" w:rsidRDefault="008D7FBF" w:rsidP="008D7FBF">
      <w:pPr>
        <w:jc w:val="both"/>
        <w:rPr>
          <w:sz w:val="24"/>
          <w:szCs w:val="24"/>
        </w:rPr>
      </w:pPr>
      <w:r>
        <w:rPr>
          <w:sz w:val="24"/>
          <w:szCs w:val="24"/>
        </w:rPr>
        <w:t>Over</w:t>
      </w:r>
      <w:r w:rsidR="00914D2C">
        <w:rPr>
          <w:sz w:val="24"/>
          <w:szCs w:val="24"/>
        </w:rPr>
        <w:t xml:space="preserve"> </w:t>
      </w:r>
      <w:r w:rsidR="00B164B5">
        <w:rPr>
          <w:sz w:val="24"/>
          <w:szCs w:val="24"/>
        </w:rPr>
        <w:t xml:space="preserve">the last three years, </w:t>
      </w:r>
      <w:r w:rsidR="00914D2C">
        <w:rPr>
          <w:sz w:val="24"/>
          <w:szCs w:val="24"/>
        </w:rPr>
        <w:t>Ukrainian reformers</w:t>
      </w:r>
      <w:r w:rsidR="00B164B5">
        <w:rPr>
          <w:sz w:val="24"/>
          <w:szCs w:val="24"/>
        </w:rPr>
        <w:t xml:space="preserve"> have been trying</w:t>
      </w:r>
      <w:r w:rsidR="00914D2C">
        <w:rPr>
          <w:sz w:val="24"/>
          <w:szCs w:val="24"/>
        </w:rPr>
        <w:t xml:space="preserve"> to answer these questions</w:t>
      </w:r>
      <w:r w:rsidR="0045018E">
        <w:rPr>
          <w:sz w:val="24"/>
          <w:szCs w:val="24"/>
        </w:rPr>
        <w:t xml:space="preserve"> --with</w:t>
      </w:r>
      <w:r w:rsidR="00914D2C">
        <w:rPr>
          <w:sz w:val="24"/>
          <w:szCs w:val="24"/>
        </w:rPr>
        <w:t xml:space="preserve"> </w:t>
      </w:r>
      <w:r w:rsidR="00B164B5">
        <w:rPr>
          <w:sz w:val="24"/>
          <w:szCs w:val="24"/>
        </w:rPr>
        <w:t>mixed results. As in ear</w:t>
      </w:r>
      <w:r w:rsidR="00CD63FD">
        <w:rPr>
          <w:sz w:val="24"/>
          <w:szCs w:val="24"/>
        </w:rPr>
        <w:t>lier</w:t>
      </w:r>
      <w:r w:rsidR="00B164B5">
        <w:rPr>
          <w:sz w:val="24"/>
          <w:szCs w:val="24"/>
        </w:rPr>
        <w:t xml:space="preserve"> reform</w:t>
      </w:r>
      <w:r w:rsidR="00CD63FD">
        <w:rPr>
          <w:sz w:val="24"/>
          <w:szCs w:val="24"/>
        </w:rPr>
        <w:t xml:space="preserve"> efforts</w:t>
      </w:r>
      <w:r w:rsidR="00B164B5">
        <w:rPr>
          <w:sz w:val="24"/>
          <w:szCs w:val="24"/>
        </w:rPr>
        <w:t>,</w:t>
      </w:r>
      <w:r w:rsidR="00914D2C">
        <w:rPr>
          <w:sz w:val="24"/>
          <w:szCs w:val="24"/>
        </w:rPr>
        <w:t xml:space="preserve"> they have been unable to</w:t>
      </w:r>
      <w:r w:rsidR="0045018E">
        <w:rPr>
          <w:sz w:val="24"/>
          <w:szCs w:val="24"/>
        </w:rPr>
        <w:t xml:space="preserve"> pass</w:t>
      </w:r>
      <w:r w:rsidR="00FD50FD">
        <w:rPr>
          <w:sz w:val="24"/>
          <w:szCs w:val="24"/>
        </w:rPr>
        <w:t xml:space="preserve"> the</w:t>
      </w:r>
      <w:r w:rsidR="0045018E">
        <w:rPr>
          <w:sz w:val="24"/>
          <w:szCs w:val="24"/>
        </w:rPr>
        <w:t xml:space="preserve"> </w:t>
      </w:r>
      <w:r w:rsidR="00914D2C">
        <w:rPr>
          <w:sz w:val="24"/>
          <w:szCs w:val="24"/>
        </w:rPr>
        <w:t>constitutional amendments</w:t>
      </w:r>
      <w:r w:rsidR="00FD50FD">
        <w:rPr>
          <w:sz w:val="24"/>
          <w:szCs w:val="24"/>
        </w:rPr>
        <w:t xml:space="preserve"> that would</w:t>
      </w:r>
      <w:r w:rsidR="00B164B5">
        <w:rPr>
          <w:sz w:val="24"/>
          <w:szCs w:val="24"/>
        </w:rPr>
        <w:t xml:space="preserve"> allow for the </w:t>
      </w:r>
      <w:r w:rsidR="00914D2C">
        <w:rPr>
          <w:sz w:val="24"/>
          <w:szCs w:val="24"/>
        </w:rPr>
        <w:t>democratic election of rayon and oblast executives</w:t>
      </w:r>
      <w:r w:rsidR="0045018E">
        <w:rPr>
          <w:sz w:val="24"/>
          <w:szCs w:val="24"/>
        </w:rPr>
        <w:t xml:space="preserve"> </w:t>
      </w:r>
      <w:r w:rsidR="00FD50FD">
        <w:rPr>
          <w:sz w:val="24"/>
          <w:szCs w:val="24"/>
        </w:rPr>
        <w:t xml:space="preserve">or for designating </w:t>
      </w:r>
      <w:r w:rsidR="00914D2C">
        <w:rPr>
          <w:sz w:val="24"/>
          <w:szCs w:val="24"/>
        </w:rPr>
        <w:t>Cities and Amalgamate</w:t>
      </w:r>
      <w:r w:rsidR="00FD50FD">
        <w:rPr>
          <w:sz w:val="24"/>
          <w:szCs w:val="24"/>
        </w:rPr>
        <w:t xml:space="preserve">d Gromada Ukraine’s basic units of </w:t>
      </w:r>
      <w:r w:rsidR="004C0539">
        <w:rPr>
          <w:sz w:val="24"/>
          <w:szCs w:val="24"/>
        </w:rPr>
        <w:t>local</w:t>
      </w:r>
      <w:r w:rsidR="00FD50FD">
        <w:rPr>
          <w:sz w:val="24"/>
          <w:szCs w:val="24"/>
        </w:rPr>
        <w:t xml:space="preserve"> self-government. Nor have they</w:t>
      </w:r>
      <w:r w:rsidR="004C0539">
        <w:rPr>
          <w:sz w:val="24"/>
          <w:szCs w:val="24"/>
        </w:rPr>
        <w:t xml:space="preserve"> been able to muster the</w:t>
      </w:r>
      <w:r w:rsidR="00FD50FD">
        <w:rPr>
          <w:sz w:val="24"/>
          <w:szCs w:val="24"/>
        </w:rPr>
        <w:t xml:space="preserve"> simpler</w:t>
      </w:r>
      <w:r w:rsidR="004C0539">
        <w:rPr>
          <w:sz w:val="24"/>
          <w:szCs w:val="24"/>
        </w:rPr>
        <w:t xml:space="preserve"> parliamentary majority necessary </w:t>
      </w:r>
      <w:r w:rsidR="00354A4E">
        <w:rPr>
          <w:sz w:val="24"/>
          <w:szCs w:val="24"/>
        </w:rPr>
        <w:t xml:space="preserve">to </w:t>
      </w:r>
      <w:r w:rsidR="004C0539">
        <w:rPr>
          <w:sz w:val="24"/>
          <w:szCs w:val="24"/>
        </w:rPr>
        <w:t xml:space="preserve">mandate the </w:t>
      </w:r>
      <w:r w:rsidR="00914D2C">
        <w:rPr>
          <w:sz w:val="24"/>
          <w:szCs w:val="24"/>
        </w:rPr>
        <w:t>national consolidation of gromada into AGs.</w:t>
      </w:r>
      <w:r w:rsidR="00D60046">
        <w:rPr>
          <w:sz w:val="24"/>
          <w:szCs w:val="24"/>
        </w:rPr>
        <w:t xml:space="preserve"> </w:t>
      </w:r>
    </w:p>
    <w:p w:rsidR="007B4350" w:rsidRDefault="00354A4E" w:rsidP="00D60046">
      <w:pPr>
        <w:jc w:val="both"/>
        <w:rPr>
          <w:sz w:val="24"/>
          <w:szCs w:val="24"/>
        </w:rPr>
      </w:pPr>
      <w:r>
        <w:rPr>
          <w:sz w:val="24"/>
          <w:szCs w:val="24"/>
        </w:rPr>
        <w:t>T</w:t>
      </w:r>
      <w:r w:rsidR="004C0539">
        <w:rPr>
          <w:sz w:val="24"/>
          <w:szCs w:val="24"/>
        </w:rPr>
        <w:t xml:space="preserve">hey </w:t>
      </w:r>
      <w:r w:rsidR="004F43C0">
        <w:rPr>
          <w:sz w:val="24"/>
          <w:szCs w:val="24"/>
        </w:rPr>
        <w:t>have</w:t>
      </w:r>
      <w:r>
        <w:rPr>
          <w:sz w:val="24"/>
          <w:szCs w:val="24"/>
        </w:rPr>
        <w:t>, however,</w:t>
      </w:r>
      <w:r w:rsidR="004F43C0">
        <w:rPr>
          <w:sz w:val="24"/>
          <w:szCs w:val="24"/>
        </w:rPr>
        <w:t xml:space="preserve"> managed to introduce</w:t>
      </w:r>
      <w:r w:rsidR="00D60046">
        <w:rPr>
          <w:sz w:val="24"/>
          <w:szCs w:val="24"/>
        </w:rPr>
        <w:t xml:space="preserve"> very substantial reforms into the</w:t>
      </w:r>
      <w:r w:rsidR="00FD50FD">
        <w:rPr>
          <w:sz w:val="24"/>
          <w:szCs w:val="24"/>
        </w:rPr>
        <w:t xml:space="preserve"> country’s</w:t>
      </w:r>
      <w:r w:rsidR="00D60046">
        <w:rPr>
          <w:sz w:val="24"/>
          <w:szCs w:val="24"/>
        </w:rPr>
        <w:t xml:space="preserve"> intergovernmental finance </w:t>
      </w:r>
      <w:r w:rsidR="004C0539">
        <w:rPr>
          <w:sz w:val="24"/>
          <w:szCs w:val="24"/>
        </w:rPr>
        <w:t>system.</w:t>
      </w:r>
      <w:r w:rsidR="00D60046">
        <w:rPr>
          <w:sz w:val="24"/>
          <w:szCs w:val="24"/>
        </w:rPr>
        <w:t xml:space="preserve"> </w:t>
      </w:r>
      <w:r w:rsidR="004F43C0">
        <w:rPr>
          <w:sz w:val="24"/>
          <w:szCs w:val="24"/>
        </w:rPr>
        <w:t>T</w:t>
      </w:r>
      <w:r w:rsidR="00FD50FD">
        <w:rPr>
          <w:sz w:val="24"/>
          <w:szCs w:val="24"/>
        </w:rPr>
        <w:t>hese reforms have significantly</w:t>
      </w:r>
      <w:r>
        <w:rPr>
          <w:sz w:val="24"/>
          <w:szCs w:val="24"/>
        </w:rPr>
        <w:t xml:space="preserve"> pared back both the revenues and the responsibilities of oblasts, who</w:t>
      </w:r>
      <w:r w:rsidR="00FD50FD">
        <w:rPr>
          <w:sz w:val="24"/>
          <w:szCs w:val="24"/>
        </w:rPr>
        <w:t>se</w:t>
      </w:r>
      <w:r>
        <w:rPr>
          <w:sz w:val="24"/>
          <w:szCs w:val="24"/>
        </w:rPr>
        <w:t xml:space="preserve"> budgets</w:t>
      </w:r>
      <w:r w:rsidR="00FD50FD">
        <w:rPr>
          <w:sz w:val="24"/>
          <w:szCs w:val="24"/>
        </w:rPr>
        <w:t xml:space="preserve"> have shru</w:t>
      </w:r>
      <w:r>
        <w:rPr>
          <w:sz w:val="24"/>
          <w:szCs w:val="24"/>
        </w:rPr>
        <w:t xml:space="preserve">nk </w:t>
      </w:r>
      <w:r w:rsidR="007B4350">
        <w:rPr>
          <w:sz w:val="24"/>
          <w:szCs w:val="24"/>
        </w:rPr>
        <w:t>by close to 30% since 2015</w:t>
      </w:r>
      <w:r w:rsidR="00D60046">
        <w:rPr>
          <w:sz w:val="24"/>
          <w:szCs w:val="24"/>
        </w:rPr>
        <w:t xml:space="preserve">. Rayons have also lost power, but less because their total revenues have fallen, than because an increasing share of them - 48% - are now earmarked transfer payments to poor households over which they have no control. </w:t>
      </w:r>
      <w:r w:rsidR="00FD50FD">
        <w:rPr>
          <w:sz w:val="24"/>
          <w:szCs w:val="24"/>
        </w:rPr>
        <w:t xml:space="preserve">As a result, </w:t>
      </w:r>
      <w:r w:rsidR="004C0539">
        <w:rPr>
          <w:sz w:val="24"/>
          <w:szCs w:val="24"/>
        </w:rPr>
        <w:t xml:space="preserve">the </w:t>
      </w:r>
      <w:r w:rsidR="00FD50FD">
        <w:rPr>
          <w:sz w:val="24"/>
          <w:szCs w:val="24"/>
        </w:rPr>
        <w:t xml:space="preserve">rayon’s </w:t>
      </w:r>
      <w:r w:rsidR="004C0539">
        <w:rPr>
          <w:sz w:val="24"/>
          <w:szCs w:val="24"/>
        </w:rPr>
        <w:t>most important function is increasingly</w:t>
      </w:r>
      <w:r w:rsidR="00FD50FD">
        <w:rPr>
          <w:sz w:val="24"/>
          <w:szCs w:val="24"/>
        </w:rPr>
        <w:t xml:space="preserve"> the distribution of </w:t>
      </w:r>
      <w:r w:rsidR="004C0539">
        <w:rPr>
          <w:sz w:val="24"/>
          <w:szCs w:val="24"/>
        </w:rPr>
        <w:t xml:space="preserve">welfare payments to individuals, a function that </w:t>
      </w:r>
      <w:r w:rsidR="00FD50FD">
        <w:rPr>
          <w:sz w:val="24"/>
          <w:szCs w:val="24"/>
        </w:rPr>
        <w:t xml:space="preserve">could </w:t>
      </w:r>
      <w:r w:rsidR="002D380B">
        <w:rPr>
          <w:sz w:val="24"/>
          <w:szCs w:val="24"/>
        </w:rPr>
        <w:t xml:space="preserve">easily </w:t>
      </w:r>
      <w:r w:rsidR="00FD50FD">
        <w:rPr>
          <w:sz w:val="24"/>
          <w:szCs w:val="24"/>
        </w:rPr>
        <w:t xml:space="preserve">be </w:t>
      </w:r>
      <w:r w:rsidR="002D380B">
        <w:rPr>
          <w:sz w:val="24"/>
          <w:szCs w:val="24"/>
        </w:rPr>
        <w:t>transfer</w:t>
      </w:r>
      <w:r w:rsidR="00FD50FD">
        <w:rPr>
          <w:sz w:val="24"/>
          <w:szCs w:val="24"/>
        </w:rPr>
        <w:t>red</w:t>
      </w:r>
      <w:r w:rsidR="002D380B">
        <w:rPr>
          <w:sz w:val="24"/>
          <w:szCs w:val="24"/>
        </w:rPr>
        <w:t xml:space="preserve"> to AGs</w:t>
      </w:r>
      <w:r w:rsidR="00FD50FD">
        <w:rPr>
          <w:sz w:val="24"/>
          <w:szCs w:val="24"/>
        </w:rPr>
        <w:t>.</w:t>
      </w:r>
    </w:p>
    <w:p w:rsidR="00D60046" w:rsidRDefault="007B4350" w:rsidP="00D60046">
      <w:pPr>
        <w:jc w:val="both"/>
        <w:rPr>
          <w:sz w:val="24"/>
          <w:szCs w:val="24"/>
        </w:rPr>
      </w:pPr>
      <w:r>
        <w:rPr>
          <w:sz w:val="24"/>
          <w:szCs w:val="24"/>
        </w:rPr>
        <w:t>Meanwhile</w:t>
      </w:r>
      <w:r w:rsidR="002D380B">
        <w:rPr>
          <w:sz w:val="24"/>
          <w:szCs w:val="24"/>
        </w:rPr>
        <w:t>, cities have benefited most from</w:t>
      </w:r>
      <w:r w:rsidR="00D60046">
        <w:rPr>
          <w:sz w:val="24"/>
          <w:szCs w:val="24"/>
        </w:rPr>
        <w:t xml:space="preserve"> the reforms</w:t>
      </w:r>
      <w:r>
        <w:rPr>
          <w:sz w:val="24"/>
          <w:szCs w:val="24"/>
        </w:rPr>
        <w:t>. Since 2015, their</w:t>
      </w:r>
      <w:r w:rsidR="00D60046">
        <w:rPr>
          <w:sz w:val="24"/>
          <w:szCs w:val="24"/>
        </w:rPr>
        <w:t xml:space="preserve"> revenues</w:t>
      </w:r>
      <w:r>
        <w:rPr>
          <w:sz w:val="24"/>
          <w:szCs w:val="24"/>
        </w:rPr>
        <w:t xml:space="preserve"> have risen </w:t>
      </w:r>
      <w:r w:rsidR="002D380B">
        <w:rPr>
          <w:sz w:val="24"/>
          <w:szCs w:val="24"/>
        </w:rPr>
        <w:t>close to 15</w:t>
      </w:r>
      <w:r w:rsidR="00D60046">
        <w:rPr>
          <w:sz w:val="24"/>
          <w:szCs w:val="24"/>
        </w:rPr>
        <w:t>%</w:t>
      </w:r>
      <w:r>
        <w:rPr>
          <w:sz w:val="24"/>
          <w:szCs w:val="24"/>
        </w:rPr>
        <w:t xml:space="preserve">, in part because of the expansion </w:t>
      </w:r>
      <w:r w:rsidR="00D60046">
        <w:rPr>
          <w:sz w:val="24"/>
          <w:szCs w:val="24"/>
        </w:rPr>
        <w:t xml:space="preserve">of their responsibilities in the health and education sectors and </w:t>
      </w:r>
      <w:r w:rsidR="002D380B">
        <w:rPr>
          <w:sz w:val="24"/>
          <w:szCs w:val="24"/>
        </w:rPr>
        <w:t>in part</w:t>
      </w:r>
      <w:r w:rsidR="00FD50FD">
        <w:rPr>
          <w:sz w:val="24"/>
          <w:szCs w:val="24"/>
        </w:rPr>
        <w:t>,</w:t>
      </w:r>
      <w:r w:rsidR="002D380B">
        <w:rPr>
          <w:sz w:val="24"/>
          <w:szCs w:val="24"/>
        </w:rPr>
        <w:t xml:space="preserve"> because</w:t>
      </w:r>
      <w:r>
        <w:rPr>
          <w:sz w:val="24"/>
          <w:szCs w:val="24"/>
        </w:rPr>
        <w:t xml:space="preserve"> </w:t>
      </w:r>
      <w:r w:rsidR="00D60046">
        <w:rPr>
          <w:sz w:val="24"/>
          <w:szCs w:val="24"/>
        </w:rPr>
        <w:t xml:space="preserve">changes in </w:t>
      </w:r>
      <w:r w:rsidR="002D380B">
        <w:rPr>
          <w:sz w:val="24"/>
          <w:szCs w:val="24"/>
        </w:rPr>
        <w:t>the transfer system have favored them.</w:t>
      </w:r>
      <w:r w:rsidR="002D380B" w:rsidRPr="002D380B">
        <w:rPr>
          <w:sz w:val="24"/>
          <w:szCs w:val="24"/>
        </w:rPr>
        <w:t xml:space="preserve"> </w:t>
      </w:r>
      <w:r w:rsidR="002D380B">
        <w:rPr>
          <w:sz w:val="24"/>
          <w:szCs w:val="24"/>
        </w:rPr>
        <w:t>Municipal investment rates have doubled since 2014 and now represent 20% of total expenditure. More than 60% of their education spending and 40% of their health spending now comes from their general revenues, and not from the grants they receive from the national government to support these functions.  And while they still only raise</w:t>
      </w:r>
      <w:r>
        <w:rPr>
          <w:sz w:val="24"/>
          <w:szCs w:val="24"/>
        </w:rPr>
        <w:t xml:space="preserve"> 17% of their revenues themselves </w:t>
      </w:r>
      <w:r w:rsidR="00D60046">
        <w:rPr>
          <w:sz w:val="24"/>
          <w:szCs w:val="24"/>
        </w:rPr>
        <w:t xml:space="preserve">there is no evidence that the increase in the largess of the transfer system has depressed their willingness to collect </w:t>
      </w:r>
      <w:r w:rsidR="002D380B">
        <w:rPr>
          <w:sz w:val="24"/>
          <w:szCs w:val="24"/>
        </w:rPr>
        <w:t>local taxes fees and charges</w:t>
      </w:r>
      <w:r>
        <w:rPr>
          <w:sz w:val="24"/>
          <w:szCs w:val="24"/>
        </w:rPr>
        <w:t>.</w:t>
      </w:r>
      <w:r w:rsidR="002D380B">
        <w:rPr>
          <w:sz w:val="24"/>
          <w:szCs w:val="24"/>
        </w:rPr>
        <w:t xml:space="preserve"> Finally, t</w:t>
      </w:r>
      <w:r w:rsidR="00D60046">
        <w:rPr>
          <w:sz w:val="24"/>
          <w:szCs w:val="24"/>
        </w:rPr>
        <w:t>he reforms have</w:t>
      </w:r>
      <w:r w:rsidR="00CC579E">
        <w:rPr>
          <w:sz w:val="24"/>
          <w:szCs w:val="24"/>
        </w:rPr>
        <w:t xml:space="preserve"> not produced any significant </w:t>
      </w:r>
      <w:r w:rsidR="00CC579E">
        <w:rPr>
          <w:sz w:val="24"/>
          <w:szCs w:val="24"/>
        </w:rPr>
        <w:lastRenderedPageBreak/>
        <w:t>deterioration</w:t>
      </w:r>
      <w:r w:rsidR="00D60046">
        <w:rPr>
          <w:sz w:val="24"/>
          <w:szCs w:val="24"/>
        </w:rPr>
        <w:t xml:space="preserve"> </w:t>
      </w:r>
      <w:r w:rsidR="00CC579E">
        <w:rPr>
          <w:sz w:val="24"/>
          <w:szCs w:val="24"/>
        </w:rPr>
        <w:t xml:space="preserve">in </w:t>
      </w:r>
      <w:r w:rsidR="00D60046">
        <w:rPr>
          <w:sz w:val="24"/>
          <w:szCs w:val="24"/>
        </w:rPr>
        <w:t xml:space="preserve">the horizontal </w:t>
      </w:r>
      <w:r w:rsidR="004F43C0">
        <w:rPr>
          <w:sz w:val="24"/>
          <w:szCs w:val="24"/>
        </w:rPr>
        <w:t xml:space="preserve">equity of </w:t>
      </w:r>
      <w:r w:rsidR="002D380B">
        <w:rPr>
          <w:sz w:val="24"/>
          <w:szCs w:val="24"/>
        </w:rPr>
        <w:t>municipal finances, and the relationship between</w:t>
      </w:r>
      <w:r w:rsidR="00D60046">
        <w:rPr>
          <w:sz w:val="24"/>
          <w:szCs w:val="24"/>
        </w:rPr>
        <w:t xml:space="preserve"> the revenues of the poorest </w:t>
      </w:r>
      <w:r w:rsidR="004F43C0">
        <w:rPr>
          <w:sz w:val="24"/>
          <w:szCs w:val="24"/>
        </w:rPr>
        <w:t>quartile of cities to those of the richest quartile</w:t>
      </w:r>
      <w:r w:rsidR="00CC579E">
        <w:rPr>
          <w:sz w:val="24"/>
          <w:szCs w:val="24"/>
        </w:rPr>
        <w:t xml:space="preserve"> has remained</w:t>
      </w:r>
      <w:r w:rsidR="002D380B">
        <w:rPr>
          <w:sz w:val="24"/>
          <w:szCs w:val="24"/>
        </w:rPr>
        <w:t xml:space="preserve"> stable</w:t>
      </w:r>
      <w:r w:rsidR="002D380B">
        <w:rPr>
          <w:rStyle w:val="FootnoteReference"/>
          <w:sz w:val="24"/>
          <w:szCs w:val="24"/>
        </w:rPr>
        <w:footnoteReference w:id="20"/>
      </w:r>
      <w:r w:rsidR="00D60046">
        <w:rPr>
          <w:sz w:val="24"/>
          <w:szCs w:val="24"/>
        </w:rPr>
        <w:t xml:space="preserve">. </w:t>
      </w:r>
    </w:p>
    <w:p w:rsidR="006672C5" w:rsidRDefault="002D380B" w:rsidP="006672C5">
      <w:pPr>
        <w:jc w:val="both"/>
        <w:rPr>
          <w:sz w:val="24"/>
          <w:szCs w:val="24"/>
        </w:rPr>
      </w:pPr>
      <w:r>
        <w:rPr>
          <w:sz w:val="24"/>
          <w:szCs w:val="24"/>
        </w:rPr>
        <w:t>R</w:t>
      </w:r>
      <w:r w:rsidR="004F43C0">
        <w:rPr>
          <w:sz w:val="24"/>
          <w:szCs w:val="24"/>
        </w:rPr>
        <w:t xml:space="preserve">eformers have </w:t>
      </w:r>
      <w:r>
        <w:rPr>
          <w:sz w:val="24"/>
          <w:szCs w:val="24"/>
        </w:rPr>
        <w:t xml:space="preserve">also </w:t>
      </w:r>
      <w:r w:rsidR="004F43C0">
        <w:rPr>
          <w:sz w:val="24"/>
          <w:szCs w:val="24"/>
        </w:rPr>
        <w:t xml:space="preserve">pushed forward jurisdictional consolidation </w:t>
      </w:r>
      <w:r>
        <w:rPr>
          <w:sz w:val="24"/>
          <w:szCs w:val="24"/>
        </w:rPr>
        <w:t xml:space="preserve">by passing legislation that made </w:t>
      </w:r>
      <w:r w:rsidR="004A2A13">
        <w:rPr>
          <w:sz w:val="24"/>
          <w:szCs w:val="24"/>
        </w:rPr>
        <w:t>the voluntary creation of amalgamated gromada possible.  As a result, in 2018 approximately</w:t>
      </w:r>
      <w:r w:rsidR="006672C5">
        <w:rPr>
          <w:sz w:val="24"/>
          <w:szCs w:val="24"/>
        </w:rPr>
        <w:t xml:space="preserve"> 20% of Ukraine’s non-urban population will live in AGs. </w:t>
      </w:r>
      <w:r w:rsidR="00CC579E">
        <w:rPr>
          <w:sz w:val="24"/>
          <w:szCs w:val="24"/>
        </w:rPr>
        <w:t>T</w:t>
      </w:r>
      <w:r w:rsidR="006672C5">
        <w:rPr>
          <w:sz w:val="24"/>
          <w:szCs w:val="24"/>
        </w:rPr>
        <w:t>he revenue</w:t>
      </w:r>
      <w:r w:rsidR="004A2A13">
        <w:rPr>
          <w:sz w:val="24"/>
          <w:szCs w:val="24"/>
        </w:rPr>
        <w:t xml:space="preserve"> </w:t>
      </w:r>
      <w:r w:rsidR="006672C5">
        <w:rPr>
          <w:sz w:val="24"/>
          <w:szCs w:val="24"/>
        </w:rPr>
        <w:t>s</w:t>
      </w:r>
      <w:r w:rsidR="004A2A13">
        <w:rPr>
          <w:sz w:val="24"/>
          <w:szCs w:val="24"/>
        </w:rPr>
        <w:t>tructure of AGs</w:t>
      </w:r>
      <w:r w:rsidR="006672C5">
        <w:rPr>
          <w:sz w:val="24"/>
          <w:szCs w:val="24"/>
        </w:rPr>
        <w:t xml:space="preserve"> now more resemble</w:t>
      </w:r>
      <w:r w:rsidR="004A2A13">
        <w:rPr>
          <w:sz w:val="24"/>
          <w:szCs w:val="24"/>
        </w:rPr>
        <w:t xml:space="preserve"> the revenue structure</w:t>
      </w:r>
      <w:r w:rsidR="006672C5">
        <w:rPr>
          <w:sz w:val="24"/>
          <w:szCs w:val="24"/>
        </w:rPr>
        <w:t xml:space="preserve"> of cities than those of the rayons they were once dependent on. </w:t>
      </w:r>
      <w:r w:rsidR="00D373F5">
        <w:rPr>
          <w:sz w:val="24"/>
          <w:szCs w:val="24"/>
        </w:rPr>
        <w:t>Indeed, AG</w:t>
      </w:r>
      <w:r w:rsidR="006672C5">
        <w:rPr>
          <w:sz w:val="24"/>
          <w:szCs w:val="24"/>
        </w:rPr>
        <w:t xml:space="preserve"> </w:t>
      </w:r>
      <w:r w:rsidR="00D373F5">
        <w:rPr>
          <w:sz w:val="24"/>
          <w:szCs w:val="24"/>
        </w:rPr>
        <w:t xml:space="preserve">per capita expenditures </w:t>
      </w:r>
      <w:r w:rsidR="006672C5">
        <w:rPr>
          <w:sz w:val="24"/>
          <w:szCs w:val="24"/>
        </w:rPr>
        <w:t>now exceed the combined per capita expenditure</w:t>
      </w:r>
      <w:r w:rsidR="00D373F5">
        <w:rPr>
          <w:sz w:val="24"/>
          <w:szCs w:val="24"/>
        </w:rPr>
        <w:t>s</w:t>
      </w:r>
      <w:r w:rsidR="006672C5">
        <w:rPr>
          <w:sz w:val="24"/>
          <w:szCs w:val="24"/>
        </w:rPr>
        <w:t xml:space="preserve"> of both rayons and </w:t>
      </w:r>
      <w:r w:rsidR="00D373F5">
        <w:rPr>
          <w:sz w:val="24"/>
          <w:szCs w:val="24"/>
        </w:rPr>
        <w:t xml:space="preserve">the </w:t>
      </w:r>
      <w:r w:rsidR="006672C5">
        <w:rPr>
          <w:sz w:val="24"/>
          <w:szCs w:val="24"/>
        </w:rPr>
        <w:t xml:space="preserve">unconsolidated gromada </w:t>
      </w:r>
      <w:r w:rsidR="00D373F5">
        <w:rPr>
          <w:sz w:val="24"/>
          <w:szCs w:val="24"/>
        </w:rPr>
        <w:t xml:space="preserve">from which they came </w:t>
      </w:r>
      <w:r w:rsidR="00CC579E">
        <w:rPr>
          <w:sz w:val="24"/>
          <w:szCs w:val="24"/>
        </w:rPr>
        <w:t>--</w:t>
      </w:r>
      <w:r w:rsidR="006672C5">
        <w:rPr>
          <w:sz w:val="24"/>
          <w:szCs w:val="24"/>
        </w:rPr>
        <w:t>once statutory transfer payments are removed from the picture</w:t>
      </w:r>
      <w:r w:rsidR="00D373F5">
        <w:rPr>
          <w:sz w:val="24"/>
          <w:szCs w:val="24"/>
        </w:rPr>
        <w:t xml:space="preserve"> for rayons</w:t>
      </w:r>
      <w:r w:rsidR="006672C5">
        <w:rPr>
          <w:sz w:val="24"/>
          <w:szCs w:val="24"/>
        </w:rPr>
        <w:t>. Finally, their investment rate –c. 30% of total expenditures-- is the highest for all types of local govern</w:t>
      </w:r>
      <w:r w:rsidR="00D373F5">
        <w:rPr>
          <w:sz w:val="24"/>
          <w:szCs w:val="24"/>
        </w:rPr>
        <w:t>ment.</w:t>
      </w:r>
    </w:p>
    <w:p w:rsidR="00CC579E" w:rsidRDefault="00CC579E" w:rsidP="006672C5">
      <w:pPr>
        <w:jc w:val="both"/>
        <w:rPr>
          <w:sz w:val="24"/>
          <w:szCs w:val="24"/>
        </w:rPr>
      </w:pPr>
      <w:r>
        <w:rPr>
          <w:sz w:val="24"/>
          <w:szCs w:val="24"/>
        </w:rPr>
        <w:t xml:space="preserve">Taken together, the 2015 </w:t>
      </w:r>
      <w:r w:rsidR="00D373F5">
        <w:rPr>
          <w:sz w:val="24"/>
          <w:szCs w:val="24"/>
        </w:rPr>
        <w:t>reforms have set in motion a process that</w:t>
      </w:r>
      <w:r w:rsidR="004A2A13">
        <w:rPr>
          <w:sz w:val="24"/>
          <w:szCs w:val="24"/>
        </w:rPr>
        <w:t xml:space="preserve"> is municipalizing</w:t>
      </w:r>
      <w:r w:rsidR="006672C5">
        <w:rPr>
          <w:sz w:val="24"/>
          <w:szCs w:val="24"/>
        </w:rPr>
        <w:t xml:space="preserve"> oblast power and </w:t>
      </w:r>
      <w:r w:rsidR="004A2A13">
        <w:rPr>
          <w:sz w:val="24"/>
          <w:szCs w:val="24"/>
        </w:rPr>
        <w:t>the “</w:t>
      </w:r>
      <w:proofErr w:type="spellStart"/>
      <w:r w:rsidR="004A2A13">
        <w:rPr>
          <w:sz w:val="24"/>
          <w:szCs w:val="24"/>
        </w:rPr>
        <w:t>gromadizng</w:t>
      </w:r>
      <w:proofErr w:type="spellEnd"/>
      <w:r w:rsidR="004A2A13">
        <w:rPr>
          <w:sz w:val="24"/>
          <w:szCs w:val="24"/>
        </w:rPr>
        <w:t xml:space="preserve">” </w:t>
      </w:r>
      <w:r w:rsidR="006672C5">
        <w:rPr>
          <w:sz w:val="24"/>
          <w:szCs w:val="24"/>
        </w:rPr>
        <w:t>rayon power.</w:t>
      </w:r>
      <w:r w:rsidR="00D373F5">
        <w:rPr>
          <w:sz w:val="24"/>
          <w:szCs w:val="24"/>
        </w:rPr>
        <w:t xml:space="preserve"> </w:t>
      </w:r>
      <w:r>
        <w:rPr>
          <w:sz w:val="24"/>
          <w:szCs w:val="24"/>
        </w:rPr>
        <w:t>These</w:t>
      </w:r>
      <w:r w:rsidR="004A2A13">
        <w:rPr>
          <w:sz w:val="24"/>
          <w:szCs w:val="24"/>
        </w:rPr>
        <w:t xml:space="preserve"> are very </w:t>
      </w:r>
      <w:r w:rsidR="00D373F5">
        <w:rPr>
          <w:sz w:val="24"/>
          <w:szCs w:val="24"/>
        </w:rPr>
        <w:t>significant achievement</w:t>
      </w:r>
      <w:r w:rsidR="004A2A13">
        <w:rPr>
          <w:sz w:val="24"/>
          <w:szCs w:val="24"/>
        </w:rPr>
        <w:t>s</w:t>
      </w:r>
      <w:r>
        <w:rPr>
          <w:sz w:val="24"/>
          <w:szCs w:val="24"/>
        </w:rPr>
        <w:t xml:space="preserve"> that undoubtedly </w:t>
      </w:r>
      <w:r w:rsidR="006672C5">
        <w:rPr>
          <w:sz w:val="24"/>
          <w:szCs w:val="24"/>
        </w:rPr>
        <w:t xml:space="preserve">reflect the core strategic objectives of </w:t>
      </w:r>
      <w:r w:rsidR="006672C5" w:rsidRPr="00660BF3">
        <w:rPr>
          <w:sz w:val="24"/>
          <w:szCs w:val="24"/>
        </w:rPr>
        <w:t>Ukraine’s local government reformers</w:t>
      </w:r>
      <w:r>
        <w:rPr>
          <w:sz w:val="24"/>
          <w:szCs w:val="24"/>
        </w:rPr>
        <w:t>. Most importantly, they carry with them the promise of clarifying the allocation of service responsibilities across levels of government and of substantially improving</w:t>
      </w:r>
      <w:r w:rsidR="004A2A13">
        <w:rPr>
          <w:sz w:val="24"/>
          <w:szCs w:val="24"/>
        </w:rPr>
        <w:t xml:space="preserve"> </w:t>
      </w:r>
      <w:r>
        <w:rPr>
          <w:sz w:val="24"/>
          <w:szCs w:val="24"/>
        </w:rPr>
        <w:t xml:space="preserve">public sector performance and accountability. </w:t>
      </w:r>
      <w:r w:rsidR="004A2A13">
        <w:rPr>
          <w:sz w:val="24"/>
          <w:szCs w:val="24"/>
        </w:rPr>
        <w:t xml:space="preserve"> </w:t>
      </w:r>
    </w:p>
    <w:p w:rsidR="006672C5" w:rsidRDefault="004A2A13" w:rsidP="006672C5">
      <w:pPr>
        <w:jc w:val="both"/>
        <w:rPr>
          <w:sz w:val="24"/>
          <w:szCs w:val="24"/>
        </w:rPr>
      </w:pPr>
      <w:r>
        <w:rPr>
          <w:sz w:val="24"/>
          <w:szCs w:val="24"/>
        </w:rPr>
        <w:t>Nonetheless, how reformers</w:t>
      </w:r>
      <w:r w:rsidR="006672C5">
        <w:rPr>
          <w:sz w:val="24"/>
          <w:szCs w:val="24"/>
        </w:rPr>
        <w:t xml:space="preserve"> have gotten to this point, and how they</w:t>
      </w:r>
      <w:r w:rsidR="00D373F5">
        <w:rPr>
          <w:sz w:val="24"/>
          <w:szCs w:val="24"/>
        </w:rPr>
        <w:t xml:space="preserve"> are publicly articulating the purpose of the reforms is increasingly </w:t>
      </w:r>
      <w:r w:rsidR="006672C5">
        <w:rPr>
          <w:sz w:val="24"/>
          <w:szCs w:val="24"/>
        </w:rPr>
        <w:t>problematic.</w:t>
      </w:r>
      <w:r w:rsidR="00CC579E">
        <w:rPr>
          <w:sz w:val="24"/>
          <w:szCs w:val="24"/>
        </w:rPr>
        <w:t xml:space="preserve"> </w:t>
      </w:r>
      <w:r>
        <w:rPr>
          <w:sz w:val="24"/>
          <w:szCs w:val="24"/>
        </w:rPr>
        <w:t>Most of these problems are directly related to reformers</w:t>
      </w:r>
      <w:r w:rsidR="00CC579E">
        <w:rPr>
          <w:sz w:val="24"/>
          <w:szCs w:val="24"/>
        </w:rPr>
        <w:t>’</w:t>
      </w:r>
      <w:r>
        <w:rPr>
          <w:sz w:val="24"/>
          <w:szCs w:val="24"/>
        </w:rPr>
        <w:t xml:space="preserve"> i</w:t>
      </w:r>
      <w:r w:rsidR="00E95393">
        <w:rPr>
          <w:sz w:val="24"/>
          <w:szCs w:val="24"/>
        </w:rPr>
        <w:t xml:space="preserve">nability </w:t>
      </w:r>
      <w:r w:rsidR="006672C5">
        <w:rPr>
          <w:sz w:val="24"/>
          <w:szCs w:val="24"/>
        </w:rPr>
        <w:t>to push key enabling legislation through Ukraine’s deeply divided</w:t>
      </w:r>
      <w:r w:rsidR="006672C5" w:rsidRPr="00D23871">
        <w:rPr>
          <w:sz w:val="24"/>
          <w:szCs w:val="24"/>
        </w:rPr>
        <w:t xml:space="preserve"> </w:t>
      </w:r>
      <w:r w:rsidR="006672C5">
        <w:rPr>
          <w:sz w:val="24"/>
          <w:szCs w:val="24"/>
        </w:rPr>
        <w:t xml:space="preserve">parliament. </w:t>
      </w:r>
      <w:r w:rsidR="00CC579E">
        <w:rPr>
          <w:sz w:val="24"/>
          <w:szCs w:val="24"/>
        </w:rPr>
        <w:t>Here, t</w:t>
      </w:r>
      <w:r w:rsidR="006672C5">
        <w:rPr>
          <w:sz w:val="24"/>
          <w:szCs w:val="24"/>
        </w:rPr>
        <w:t xml:space="preserve">he most obvious example </w:t>
      </w:r>
      <w:r>
        <w:rPr>
          <w:sz w:val="24"/>
          <w:szCs w:val="24"/>
        </w:rPr>
        <w:t xml:space="preserve">is the failure of the government to </w:t>
      </w:r>
      <w:r w:rsidR="006672C5">
        <w:rPr>
          <w:sz w:val="24"/>
          <w:szCs w:val="24"/>
        </w:rPr>
        <w:t xml:space="preserve">pass legislation that would mandate the amalgamation of all gromada by a particular date and according to certain minimum standards. </w:t>
      </w:r>
    </w:p>
    <w:p w:rsidR="006672C5" w:rsidRDefault="006672C5" w:rsidP="006672C5">
      <w:pPr>
        <w:jc w:val="both"/>
        <w:rPr>
          <w:sz w:val="24"/>
          <w:szCs w:val="24"/>
        </w:rPr>
      </w:pPr>
      <w:r>
        <w:rPr>
          <w:sz w:val="24"/>
          <w:szCs w:val="24"/>
        </w:rPr>
        <w:t>This failure has forced reformers to rely on a voluntary process</w:t>
      </w:r>
      <w:r w:rsidR="00CC579E">
        <w:rPr>
          <w:sz w:val="24"/>
          <w:szCs w:val="24"/>
        </w:rPr>
        <w:t xml:space="preserve"> of consolidation</w:t>
      </w:r>
      <w:r w:rsidR="00095664">
        <w:rPr>
          <w:sz w:val="24"/>
          <w:szCs w:val="24"/>
        </w:rPr>
        <w:t>. And to encourage consolidation the national government has made significant side payments to gromada that have been willing to amalgamate.  Similarly, the national government has sought to speed up consolidation by allowing gromada to amalgamate any way they want, a process that</w:t>
      </w:r>
      <w:r>
        <w:rPr>
          <w:sz w:val="24"/>
          <w:szCs w:val="24"/>
        </w:rPr>
        <w:t xml:space="preserve"> seems to be encouraging the dysfunctional self-sorting AGs into two groups: </w:t>
      </w:r>
      <w:r w:rsidR="00E95393">
        <w:rPr>
          <w:sz w:val="24"/>
          <w:szCs w:val="24"/>
        </w:rPr>
        <w:t>S</w:t>
      </w:r>
      <w:r>
        <w:rPr>
          <w:sz w:val="24"/>
          <w:szCs w:val="24"/>
        </w:rPr>
        <w:t>mall</w:t>
      </w:r>
      <w:r w:rsidR="00095664">
        <w:rPr>
          <w:sz w:val="24"/>
          <w:szCs w:val="24"/>
        </w:rPr>
        <w:t>,</w:t>
      </w:r>
      <w:r>
        <w:rPr>
          <w:sz w:val="24"/>
          <w:szCs w:val="24"/>
        </w:rPr>
        <w:t xml:space="preserve"> rural</w:t>
      </w:r>
      <w:r w:rsidR="00095664">
        <w:rPr>
          <w:sz w:val="24"/>
          <w:szCs w:val="24"/>
        </w:rPr>
        <w:t>,</w:t>
      </w:r>
      <w:r>
        <w:rPr>
          <w:sz w:val="24"/>
          <w:szCs w:val="24"/>
        </w:rPr>
        <w:t xml:space="preserve"> and extremely poor gromada </w:t>
      </w:r>
      <w:r w:rsidR="00095664">
        <w:rPr>
          <w:sz w:val="24"/>
          <w:szCs w:val="24"/>
        </w:rPr>
        <w:t xml:space="preserve">are apparently </w:t>
      </w:r>
      <w:r>
        <w:rPr>
          <w:sz w:val="24"/>
          <w:szCs w:val="24"/>
        </w:rPr>
        <w:t>consolidating themselves into units without any sort of town center because they are afraid that their voices and interests will be ignored if they am</w:t>
      </w:r>
      <w:r w:rsidR="00E95393">
        <w:rPr>
          <w:sz w:val="24"/>
          <w:szCs w:val="24"/>
        </w:rPr>
        <w:t>algamate with the more urban settlements</w:t>
      </w:r>
      <w:r>
        <w:rPr>
          <w:sz w:val="24"/>
          <w:szCs w:val="24"/>
        </w:rPr>
        <w:t>.</w:t>
      </w:r>
      <w:r w:rsidR="00E95393">
        <w:rPr>
          <w:sz w:val="24"/>
          <w:szCs w:val="24"/>
        </w:rPr>
        <w:t xml:space="preserve"> And many of these urban settlements</w:t>
      </w:r>
      <w:r>
        <w:rPr>
          <w:sz w:val="24"/>
          <w:szCs w:val="24"/>
        </w:rPr>
        <w:t xml:space="preserve"> seem to be trying to amalgamate with as few rural gromada as possible because they then won’t have to provide services to their poorer neighbors.</w:t>
      </w:r>
    </w:p>
    <w:p w:rsidR="006672C5" w:rsidRDefault="006672C5" w:rsidP="006672C5">
      <w:pPr>
        <w:jc w:val="both"/>
        <w:rPr>
          <w:sz w:val="24"/>
          <w:szCs w:val="24"/>
        </w:rPr>
      </w:pPr>
      <w:r>
        <w:rPr>
          <w:sz w:val="24"/>
          <w:szCs w:val="24"/>
        </w:rPr>
        <w:t>In short, without a clear requirement</w:t>
      </w:r>
      <w:r w:rsidR="004A2A13">
        <w:rPr>
          <w:sz w:val="24"/>
          <w:szCs w:val="24"/>
        </w:rPr>
        <w:t xml:space="preserve"> that all gromada consolidate by</w:t>
      </w:r>
      <w:r>
        <w:rPr>
          <w:sz w:val="24"/>
          <w:szCs w:val="24"/>
        </w:rPr>
        <w:t xml:space="preserve"> a particular date, and that consolidation conform to certain minimum requirements, the voluntary amalgamation </w:t>
      </w:r>
      <w:r w:rsidR="00095664">
        <w:rPr>
          <w:sz w:val="24"/>
          <w:szCs w:val="24"/>
        </w:rPr>
        <w:t>process is not only likely to</w:t>
      </w:r>
      <w:r w:rsidR="004A2A13">
        <w:rPr>
          <w:sz w:val="24"/>
          <w:szCs w:val="24"/>
        </w:rPr>
        <w:t xml:space="preserve"> </w:t>
      </w:r>
      <w:r>
        <w:rPr>
          <w:sz w:val="24"/>
          <w:szCs w:val="24"/>
        </w:rPr>
        <w:t>stall, but to produce a large number of AGs that will be unsusta</w:t>
      </w:r>
      <w:r w:rsidR="004A2A13">
        <w:rPr>
          <w:sz w:val="24"/>
          <w:szCs w:val="24"/>
        </w:rPr>
        <w:t xml:space="preserve">inable without </w:t>
      </w:r>
      <w:r w:rsidR="004A2A13">
        <w:rPr>
          <w:sz w:val="24"/>
          <w:szCs w:val="24"/>
        </w:rPr>
        <w:lastRenderedPageBreak/>
        <w:t xml:space="preserve">continued provision of special </w:t>
      </w:r>
      <w:r>
        <w:rPr>
          <w:sz w:val="24"/>
          <w:szCs w:val="24"/>
        </w:rPr>
        <w:t>transfers –transfers th</w:t>
      </w:r>
      <w:r w:rsidR="004A2A13">
        <w:rPr>
          <w:sz w:val="24"/>
          <w:szCs w:val="24"/>
        </w:rPr>
        <w:t>at the Ukrainian state</w:t>
      </w:r>
      <w:r>
        <w:rPr>
          <w:sz w:val="24"/>
          <w:szCs w:val="24"/>
        </w:rPr>
        <w:t xml:space="preserve"> may not be able to afford.</w:t>
      </w:r>
    </w:p>
    <w:p w:rsidR="008A38FD" w:rsidRDefault="00095664" w:rsidP="006672C5">
      <w:pPr>
        <w:jc w:val="both"/>
        <w:rPr>
          <w:sz w:val="24"/>
          <w:szCs w:val="24"/>
        </w:rPr>
      </w:pPr>
      <w:r>
        <w:rPr>
          <w:sz w:val="24"/>
          <w:szCs w:val="24"/>
        </w:rPr>
        <w:t>Meanwhile, t</w:t>
      </w:r>
      <w:r w:rsidR="004A2A13">
        <w:rPr>
          <w:sz w:val="24"/>
          <w:szCs w:val="24"/>
        </w:rPr>
        <w:t>he government’</w:t>
      </w:r>
      <w:r w:rsidR="00CE7D51">
        <w:rPr>
          <w:sz w:val="24"/>
          <w:szCs w:val="24"/>
        </w:rPr>
        <w:t>s</w:t>
      </w:r>
      <w:r>
        <w:rPr>
          <w:sz w:val="24"/>
          <w:szCs w:val="24"/>
        </w:rPr>
        <w:t xml:space="preserve"> inability to pass </w:t>
      </w:r>
      <w:r w:rsidR="00B164B5">
        <w:rPr>
          <w:sz w:val="24"/>
          <w:szCs w:val="24"/>
        </w:rPr>
        <w:t>the constitutional a</w:t>
      </w:r>
      <w:r w:rsidR="00E95393">
        <w:rPr>
          <w:sz w:val="24"/>
          <w:szCs w:val="24"/>
        </w:rPr>
        <w:t>mendments necessary to change either the governance structures of rayons or oblasts</w:t>
      </w:r>
      <w:r w:rsidR="00B164B5">
        <w:rPr>
          <w:sz w:val="24"/>
          <w:szCs w:val="24"/>
        </w:rPr>
        <w:t>, or to declare Cities and AGs Ukraine’s</w:t>
      </w:r>
      <w:r w:rsidR="00C40FAC">
        <w:rPr>
          <w:sz w:val="24"/>
          <w:szCs w:val="24"/>
        </w:rPr>
        <w:t xml:space="preserve"> most important level</w:t>
      </w:r>
      <w:r w:rsidR="00205697">
        <w:rPr>
          <w:sz w:val="24"/>
          <w:szCs w:val="24"/>
        </w:rPr>
        <w:t>s</w:t>
      </w:r>
      <w:r w:rsidR="00C40FAC">
        <w:rPr>
          <w:sz w:val="24"/>
          <w:szCs w:val="24"/>
        </w:rPr>
        <w:t xml:space="preserve"> of local government</w:t>
      </w:r>
      <w:r w:rsidR="00CE7D51">
        <w:rPr>
          <w:sz w:val="24"/>
          <w:szCs w:val="24"/>
        </w:rPr>
        <w:t xml:space="preserve"> has</w:t>
      </w:r>
      <w:r w:rsidR="00205697">
        <w:rPr>
          <w:sz w:val="24"/>
          <w:szCs w:val="24"/>
        </w:rPr>
        <w:t xml:space="preserve"> also</w:t>
      </w:r>
      <w:r w:rsidR="00CE7D51">
        <w:rPr>
          <w:sz w:val="24"/>
          <w:szCs w:val="24"/>
        </w:rPr>
        <w:t xml:space="preserve"> forced reformers int</w:t>
      </w:r>
      <w:r w:rsidR="008A38FD">
        <w:rPr>
          <w:sz w:val="24"/>
          <w:szCs w:val="24"/>
        </w:rPr>
        <w:t>o a dangerous ideological corner: Precisely because the government has proved incapable of passing key enabling legislation, reformers have</w:t>
      </w:r>
      <w:r w:rsidR="00C40FAC">
        <w:rPr>
          <w:sz w:val="24"/>
          <w:szCs w:val="24"/>
        </w:rPr>
        <w:t xml:space="preserve"> </w:t>
      </w:r>
      <w:r w:rsidR="008A38FD">
        <w:rPr>
          <w:sz w:val="24"/>
          <w:szCs w:val="24"/>
        </w:rPr>
        <w:t xml:space="preserve">been forced to rely on a reform </w:t>
      </w:r>
      <w:r w:rsidR="006672C5">
        <w:rPr>
          <w:sz w:val="24"/>
          <w:szCs w:val="24"/>
        </w:rPr>
        <w:t>discourse that</w:t>
      </w:r>
      <w:r w:rsidR="00CE7D51">
        <w:rPr>
          <w:sz w:val="24"/>
          <w:szCs w:val="24"/>
        </w:rPr>
        <w:t xml:space="preserve"> </w:t>
      </w:r>
      <w:r w:rsidR="006672C5">
        <w:rPr>
          <w:sz w:val="24"/>
          <w:szCs w:val="24"/>
        </w:rPr>
        <w:t>conflates “decentralization” with the provision of m</w:t>
      </w:r>
      <w:r w:rsidR="008A38FD">
        <w:rPr>
          <w:sz w:val="24"/>
          <w:szCs w:val="24"/>
        </w:rPr>
        <w:t>ore money to all levels of subnational</w:t>
      </w:r>
      <w:r w:rsidR="006672C5">
        <w:rPr>
          <w:sz w:val="24"/>
          <w:szCs w:val="24"/>
        </w:rPr>
        <w:t xml:space="preserve"> government.</w:t>
      </w:r>
      <w:r w:rsidR="008A38FD">
        <w:rPr>
          <w:sz w:val="24"/>
          <w:szCs w:val="24"/>
        </w:rPr>
        <w:t xml:space="preserve"> Indeed, s</w:t>
      </w:r>
      <w:r w:rsidR="00C40FAC">
        <w:rPr>
          <w:sz w:val="24"/>
          <w:szCs w:val="24"/>
        </w:rPr>
        <w:t>ince</w:t>
      </w:r>
      <w:r w:rsidR="008A38FD">
        <w:rPr>
          <w:sz w:val="24"/>
          <w:szCs w:val="24"/>
        </w:rPr>
        <w:t xml:space="preserve"> late</w:t>
      </w:r>
      <w:r w:rsidR="00C40FAC">
        <w:rPr>
          <w:sz w:val="24"/>
          <w:szCs w:val="24"/>
        </w:rPr>
        <w:t xml:space="preserve"> </w:t>
      </w:r>
      <w:r w:rsidR="008A38FD">
        <w:rPr>
          <w:sz w:val="24"/>
          <w:szCs w:val="24"/>
        </w:rPr>
        <w:t>2014, almost all of th</w:t>
      </w:r>
      <w:r w:rsidR="00C40FAC">
        <w:rPr>
          <w:sz w:val="24"/>
          <w:szCs w:val="24"/>
        </w:rPr>
        <w:t>e government</w:t>
      </w:r>
      <w:r w:rsidR="008A38FD">
        <w:rPr>
          <w:sz w:val="24"/>
          <w:szCs w:val="24"/>
        </w:rPr>
        <w:t xml:space="preserve">’s public discussion of decentralization has focused </w:t>
      </w:r>
      <w:r w:rsidR="00FA5975">
        <w:rPr>
          <w:sz w:val="24"/>
          <w:szCs w:val="24"/>
        </w:rPr>
        <w:t xml:space="preserve">on the “hundreds of </w:t>
      </w:r>
      <w:r w:rsidR="006672C5">
        <w:rPr>
          <w:sz w:val="24"/>
          <w:szCs w:val="24"/>
        </w:rPr>
        <w:t>billions of new hryvna</w:t>
      </w:r>
      <w:r w:rsidR="00FA5975">
        <w:rPr>
          <w:sz w:val="24"/>
          <w:szCs w:val="24"/>
        </w:rPr>
        <w:t>”</w:t>
      </w:r>
      <w:r w:rsidR="006672C5">
        <w:rPr>
          <w:sz w:val="24"/>
          <w:szCs w:val="24"/>
        </w:rPr>
        <w:t xml:space="preserve"> that </w:t>
      </w:r>
      <w:r w:rsidR="00FA5975">
        <w:rPr>
          <w:sz w:val="24"/>
          <w:szCs w:val="24"/>
        </w:rPr>
        <w:t>the reforms have provided to subnational governments.</w:t>
      </w:r>
    </w:p>
    <w:p w:rsidR="006672C5" w:rsidRDefault="00FA5975" w:rsidP="006672C5">
      <w:pPr>
        <w:jc w:val="both"/>
        <w:rPr>
          <w:sz w:val="24"/>
          <w:szCs w:val="24"/>
        </w:rPr>
      </w:pPr>
      <w:r>
        <w:rPr>
          <w:sz w:val="24"/>
          <w:szCs w:val="24"/>
        </w:rPr>
        <w:t xml:space="preserve">As we have seen, </w:t>
      </w:r>
      <w:r w:rsidR="00CE7D51">
        <w:rPr>
          <w:sz w:val="24"/>
          <w:szCs w:val="24"/>
        </w:rPr>
        <w:t xml:space="preserve">this discourse </w:t>
      </w:r>
      <w:r w:rsidR="008A38FD">
        <w:rPr>
          <w:sz w:val="24"/>
          <w:szCs w:val="24"/>
        </w:rPr>
        <w:t xml:space="preserve">is profoundly misleading </w:t>
      </w:r>
      <w:r w:rsidR="002F62CA">
        <w:rPr>
          <w:sz w:val="24"/>
          <w:szCs w:val="24"/>
        </w:rPr>
        <w:t xml:space="preserve">once inflation is </w:t>
      </w:r>
      <w:r w:rsidR="008A38FD">
        <w:rPr>
          <w:sz w:val="24"/>
          <w:szCs w:val="24"/>
        </w:rPr>
        <w:t>accounted for. Worse</w:t>
      </w:r>
      <w:r w:rsidR="002F62CA">
        <w:rPr>
          <w:sz w:val="24"/>
          <w:szCs w:val="24"/>
        </w:rPr>
        <w:t xml:space="preserve">, it </w:t>
      </w:r>
      <w:r w:rsidR="006672C5">
        <w:rPr>
          <w:sz w:val="24"/>
          <w:szCs w:val="24"/>
        </w:rPr>
        <w:t xml:space="preserve">masks </w:t>
      </w:r>
      <w:r w:rsidR="002F62CA">
        <w:rPr>
          <w:sz w:val="24"/>
          <w:szCs w:val="24"/>
        </w:rPr>
        <w:t xml:space="preserve">much </w:t>
      </w:r>
      <w:r w:rsidR="008A38FD">
        <w:rPr>
          <w:sz w:val="24"/>
          <w:szCs w:val="24"/>
        </w:rPr>
        <w:t xml:space="preserve">of </w:t>
      </w:r>
      <w:r w:rsidR="002F62CA">
        <w:rPr>
          <w:sz w:val="24"/>
          <w:szCs w:val="24"/>
        </w:rPr>
        <w:t>what</w:t>
      </w:r>
      <w:r>
        <w:rPr>
          <w:sz w:val="24"/>
          <w:szCs w:val="24"/>
        </w:rPr>
        <w:t xml:space="preserve"> has actually been </w:t>
      </w:r>
      <w:r w:rsidR="006672C5">
        <w:rPr>
          <w:sz w:val="24"/>
          <w:szCs w:val="24"/>
        </w:rPr>
        <w:t xml:space="preserve">accomplished, </w:t>
      </w:r>
      <w:r>
        <w:rPr>
          <w:sz w:val="24"/>
          <w:szCs w:val="24"/>
        </w:rPr>
        <w:t>meaning the shift in pow</w:t>
      </w:r>
      <w:r w:rsidR="008A38FD">
        <w:rPr>
          <w:sz w:val="24"/>
          <w:szCs w:val="24"/>
        </w:rPr>
        <w:t xml:space="preserve">er away from oblasts and rayons towards cities and AGs. </w:t>
      </w:r>
      <w:r>
        <w:rPr>
          <w:sz w:val="24"/>
          <w:szCs w:val="24"/>
        </w:rPr>
        <w:t xml:space="preserve"> </w:t>
      </w:r>
      <w:r w:rsidR="002F62CA">
        <w:rPr>
          <w:sz w:val="24"/>
          <w:szCs w:val="24"/>
        </w:rPr>
        <w:t>It is also</w:t>
      </w:r>
      <w:r w:rsidR="00855C8C">
        <w:rPr>
          <w:sz w:val="24"/>
          <w:szCs w:val="24"/>
        </w:rPr>
        <w:t xml:space="preserve"> arguably </w:t>
      </w:r>
      <w:r w:rsidR="008A38FD">
        <w:rPr>
          <w:sz w:val="24"/>
          <w:szCs w:val="24"/>
        </w:rPr>
        <w:t xml:space="preserve">“politically </w:t>
      </w:r>
      <w:r w:rsidR="00855C8C">
        <w:rPr>
          <w:sz w:val="24"/>
          <w:szCs w:val="24"/>
        </w:rPr>
        <w:t xml:space="preserve">unnecessary,” at least in as much as the truly remarkable </w:t>
      </w:r>
      <w:r w:rsidR="002F62CA">
        <w:rPr>
          <w:sz w:val="24"/>
          <w:szCs w:val="24"/>
        </w:rPr>
        <w:t xml:space="preserve">fact of </w:t>
      </w:r>
      <w:r w:rsidR="006672C5">
        <w:rPr>
          <w:sz w:val="24"/>
          <w:szCs w:val="24"/>
        </w:rPr>
        <w:t xml:space="preserve">the last few years is </w:t>
      </w:r>
      <w:r w:rsidR="002F62CA">
        <w:rPr>
          <w:sz w:val="24"/>
          <w:szCs w:val="24"/>
        </w:rPr>
        <w:t>that despite war and occupation, Ukraine has not recentralized its public finances.</w:t>
      </w:r>
      <w:r w:rsidR="006672C5">
        <w:rPr>
          <w:sz w:val="24"/>
          <w:szCs w:val="24"/>
        </w:rPr>
        <w:t xml:space="preserve">  </w:t>
      </w:r>
    </w:p>
    <w:p w:rsidR="004D525D" w:rsidRDefault="006672C5" w:rsidP="006672C5">
      <w:pPr>
        <w:jc w:val="both"/>
        <w:rPr>
          <w:sz w:val="24"/>
          <w:szCs w:val="24"/>
        </w:rPr>
      </w:pPr>
      <w:r>
        <w:rPr>
          <w:sz w:val="24"/>
          <w:szCs w:val="24"/>
        </w:rPr>
        <w:t>But most importantly, the one-sided identification “decentralization” with more money is increasingly dangerous and potentially politically self-blocking. The first reason for this is simply that this discourse creates the false expectation that going forward all levels of local government can expect to see their financial positions improve. This is clearly not</w:t>
      </w:r>
      <w:r w:rsidR="004D525D">
        <w:rPr>
          <w:sz w:val="24"/>
          <w:szCs w:val="24"/>
        </w:rPr>
        <w:t xml:space="preserve"> what</w:t>
      </w:r>
      <w:r w:rsidR="008A38FD">
        <w:rPr>
          <w:sz w:val="24"/>
          <w:szCs w:val="24"/>
        </w:rPr>
        <w:t xml:space="preserve"> happened</w:t>
      </w:r>
      <w:r w:rsidR="004D525D">
        <w:rPr>
          <w:sz w:val="24"/>
          <w:szCs w:val="24"/>
        </w:rPr>
        <w:t>, despite the fact that all levels of subnational government felt like it did.  Instead, and a</w:t>
      </w:r>
      <w:r w:rsidR="00205697">
        <w:rPr>
          <w:sz w:val="24"/>
          <w:szCs w:val="24"/>
        </w:rPr>
        <w:t xml:space="preserve">s we have seen, </w:t>
      </w:r>
      <w:r w:rsidR="004D525D">
        <w:rPr>
          <w:sz w:val="24"/>
          <w:szCs w:val="24"/>
        </w:rPr>
        <w:t xml:space="preserve">the disposable income of all subnational governments increased –and with it investment rates-- because </w:t>
      </w:r>
      <w:r>
        <w:rPr>
          <w:sz w:val="24"/>
          <w:szCs w:val="24"/>
        </w:rPr>
        <w:t>the national government did not adjust public sector wages in line with inflation</w:t>
      </w:r>
      <w:r w:rsidR="004D525D" w:rsidRPr="004D525D">
        <w:rPr>
          <w:sz w:val="24"/>
          <w:szCs w:val="24"/>
        </w:rPr>
        <w:t xml:space="preserve"> </w:t>
      </w:r>
      <w:r w:rsidR="004D525D">
        <w:rPr>
          <w:sz w:val="24"/>
          <w:szCs w:val="24"/>
        </w:rPr>
        <w:t>in 2015 and 2016.</w:t>
      </w:r>
    </w:p>
    <w:p w:rsidR="006672C5" w:rsidRDefault="006672C5" w:rsidP="006672C5">
      <w:pPr>
        <w:jc w:val="both"/>
        <w:rPr>
          <w:sz w:val="24"/>
          <w:szCs w:val="24"/>
        </w:rPr>
      </w:pPr>
      <w:r>
        <w:rPr>
          <w:sz w:val="24"/>
          <w:szCs w:val="24"/>
        </w:rPr>
        <w:t xml:space="preserve">In 2017, however, </w:t>
      </w:r>
      <w:r w:rsidR="00205697">
        <w:rPr>
          <w:sz w:val="24"/>
          <w:szCs w:val="24"/>
        </w:rPr>
        <w:t xml:space="preserve">the </w:t>
      </w:r>
      <w:r w:rsidR="004D525D">
        <w:rPr>
          <w:sz w:val="24"/>
          <w:szCs w:val="24"/>
        </w:rPr>
        <w:t xml:space="preserve">national </w:t>
      </w:r>
      <w:r w:rsidR="00205697">
        <w:rPr>
          <w:sz w:val="24"/>
          <w:szCs w:val="24"/>
        </w:rPr>
        <w:t xml:space="preserve">government </w:t>
      </w:r>
      <w:r w:rsidR="004D525D">
        <w:rPr>
          <w:sz w:val="24"/>
          <w:szCs w:val="24"/>
        </w:rPr>
        <w:t xml:space="preserve">did raise </w:t>
      </w:r>
      <w:r w:rsidR="00205697">
        <w:rPr>
          <w:sz w:val="24"/>
          <w:szCs w:val="24"/>
        </w:rPr>
        <w:t xml:space="preserve">public </w:t>
      </w:r>
      <w:r>
        <w:rPr>
          <w:sz w:val="24"/>
          <w:szCs w:val="24"/>
        </w:rPr>
        <w:t>sector wages. These increases will reduce the disposable income of all local governments, but particularly those of oblasts, rayons and gromada. And</w:t>
      </w:r>
      <w:r w:rsidRPr="006664EB">
        <w:rPr>
          <w:sz w:val="24"/>
          <w:szCs w:val="24"/>
        </w:rPr>
        <w:t xml:space="preserve"> </w:t>
      </w:r>
      <w:r>
        <w:rPr>
          <w:sz w:val="24"/>
          <w:szCs w:val="24"/>
        </w:rPr>
        <w:t>i</w:t>
      </w:r>
      <w:r w:rsidRPr="006664EB">
        <w:rPr>
          <w:sz w:val="24"/>
          <w:szCs w:val="24"/>
        </w:rPr>
        <w:t xml:space="preserve">n </w:t>
      </w:r>
      <w:r>
        <w:rPr>
          <w:sz w:val="24"/>
          <w:szCs w:val="24"/>
        </w:rPr>
        <w:t>the name of “decentralization”</w:t>
      </w:r>
      <w:r w:rsidRPr="006664EB">
        <w:rPr>
          <w:sz w:val="24"/>
          <w:szCs w:val="24"/>
        </w:rPr>
        <w:t xml:space="preserve"> </w:t>
      </w:r>
      <w:r w:rsidR="00C56D98">
        <w:rPr>
          <w:sz w:val="24"/>
          <w:szCs w:val="24"/>
        </w:rPr>
        <w:t>the</w:t>
      </w:r>
      <w:r w:rsidR="004D525D">
        <w:rPr>
          <w:sz w:val="24"/>
          <w:szCs w:val="24"/>
        </w:rPr>
        <w:t>y</w:t>
      </w:r>
      <w:r w:rsidR="00C56D98">
        <w:rPr>
          <w:sz w:val="24"/>
          <w:szCs w:val="24"/>
        </w:rPr>
        <w:t xml:space="preserve"> will fight against these reductions</w:t>
      </w:r>
      <w:r>
        <w:rPr>
          <w:sz w:val="24"/>
          <w:szCs w:val="24"/>
        </w:rPr>
        <w:t xml:space="preserve"> by</w:t>
      </w:r>
      <w:r w:rsidRPr="006664EB">
        <w:rPr>
          <w:sz w:val="24"/>
          <w:szCs w:val="24"/>
        </w:rPr>
        <w:t xml:space="preserve"> demanding</w:t>
      </w:r>
      <w:r>
        <w:rPr>
          <w:sz w:val="24"/>
          <w:szCs w:val="24"/>
        </w:rPr>
        <w:t xml:space="preserve"> more money. Worse</w:t>
      </w:r>
      <w:r w:rsidRPr="006664EB">
        <w:rPr>
          <w:sz w:val="24"/>
          <w:szCs w:val="24"/>
        </w:rPr>
        <w:t>, these demands</w:t>
      </w:r>
      <w:r>
        <w:rPr>
          <w:sz w:val="24"/>
          <w:szCs w:val="24"/>
        </w:rPr>
        <w:t xml:space="preserve"> may well </w:t>
      </w:r>
      <w:r w:rsidRPr="006664EB">
        <w:rPr>
          <w:sz w:val="24"/>
          <w:szCs w:val="24"/>
        </w:rPr>
        <w:t>be supported by the</w:t>
      </w:r>
      <w:r w:rsidR="00205697">
        <w:rPr>
          <w:sz w:val="24"/>
          <w:szCs w:val="24"/>
        </w:rPr>
        <w:t xml:space="preserve"> more powerful cities</w:t>
      </w:r>
      <w:r>
        <w:rPr>
          <w:sz w:val="24"/>
          <w:szCs w:val="24"/>
        </w:rPr>
        <w:t xml:space="preserve"> </w:t>
      </w:r>
      <w:r w:rsidRPr="006664EB">
        <w:rPr>
          <w:sz w:val="24"/>
          <w:szCs w:val="24"/>
        </w:rPr>
        <w:t xml:space="preserve">precisely because “decentralization” has become </w:t>
      </w:r>
      <w:r>
        <w:rPr>
          <w:sz w:val="24"/>
          <w:szCs w:val="24"/>
        </w:rPr>
        <w:t xml:space="preserve">completely </w:t>
      </w:r>
      <w:r w:rsidRPr="006664EB">
        <w:rPr>
          <w:sz w:val="24"/>
          <w:szCs w:val="24"/>
        </w:rPr>
        <w:t>identified with the idea that the national government is simply</w:t>
      </w:r>
      <w:r w:rsidR="00C56D98">
        <w:rPr>
          <w:sz w:val="24"/>
          <w:szCs w:val="24"/>
        </w:rPr>
        <w:t xml:space="preserve"> not providing subnational governments</w:t>
      </w:r>
      <w:r w:rsidRPr="006664EB">
        <w:rPr>
          <w:sz w:val="24"/>
          <w:szCs w:val="24"/>
        </w:rPr>
        <w:t xml:space="preserve"> with </w:t>
      </w:r>
      <w:r>
        <w:rPr>
          <w:sz w:val="24"/>
          <w:szCs w:val="24"/>
        </w:rPr>
        <w:t>adequate funding.</w:t>
      </w:r>
    </w:p>
    <w:p w:rsidR="006672C5" w:rsidRDefault="00C56D98" w:rsidP="006672C5">
      <w:pPr>
        <w:jc w:val="both"/>
        <w:rPr>
          <w:sz w:val="24"/>
          <w:szCs w:val="24"/>
        </w:rPr>
      </w:pPr>
      <w:r>
        <w:rPr>
          <w:sz w:val="24"/>
          <w:szCs w:val="24"/>
        </w:rPr>
        <w:t>T</w:t>
      </w:r>
      <w:r w:rsidR="006672C5">
        <w:rPr>
          <w:sz w:val="24"/>
          <w:szCs w:val="24"/>
        </w:rPr>
        <w:t>he conflation of decentralization with more money</w:t>
      </w:r>
      <w:r>
        <w:rPr>
          <w:sz w:val="24"/>
          <w:szCs w:val="24"/>
        </w:rPr>
        <w:t xml:space="preserve"> also distracts </w:t>
      </w:r>
      <w:r w:rsidR="006672C5">
        <w:rPr>
          <w:sz w:val="24"/>
          <w:szCs w:val="24"/>
        </w:rPr>
        <w:t xml:space="preserve">local governments from </w:t>
      </w:r>
      <w:r>
        <w:rPr>
          <w:sz w:val="24"/>
          <w:szCs w:val="24"/>
        </w:rPr>
        <w:t xml:space="preserve">some of </w:t>
      </w:r>
      <w:r w:rsidR="006672C5">
        <w:rPr>
          <w:sz w:val="24"/>
          <w:szCs w:val="24"/>
        </w:rPr>
        <w:t xml:space="preserve">the most important challenges they –and indeed Ukraine-- face. These challenges lie in improving the quality of public </w:t>
      </w:r>
      <w:r w:rsidR="004D525D">
        <w:rPr>
          <w:sz w:val="24"/>
          <w:szCs w:val="24"/>
        </w:rPr>
        <w:t>sector services while rationalizing</w:t>
      </w:r>
      <w:r w:rsidR="006672C5">
        <w:rPr>
          <w:sz w:val="24"/>
          <w:szCs w:val="24"/>
        </w:rPr>
        <w:t xml:space="preserve"> school and health care networks</w:t>
      </w:r>
      <w:r w:rsidR="004D525D">
        <w:rPr>
          <w:sz w:val="24"/>
          <w:szCs w:val="24"/>
        </w:rPr>
        <w:t>, networks</w:t>
      </w:r>
      <w:r w:rsidR="006672C5">
        <w:rPr>
          <w:sz w:val="24"/>
          <w:szCs w:val="24"/>
        </w:rPr>
        <w:t xml:space="preserve"> that have not been adjusted in line with country’s steep demographic decline. In short, Ukraine cannot afford to have one of the lowest teacher/pupil ratios in the world, or one of the highest ratios of hospital beds to citizens in Europe. And like it or not, local governments must understand that they will necessarily be on the front line of this struggle. </w:t>
      </w:r>
    </w:p>
    <w:p w:rsidR="006672C5" w:rsidRDefault="006672C5" w:rsidP="006672C5">
      <w:pPr>
        <w:jc w:val="both"/>
        <w:rPr>
          <w:sz w:val="24"/>
          <w:szCs w:val="24"/>
        </w:rPr>
      </w:pPr>
      <w:r>
        <w:rPr>
          <w:sz w:val="24"/>
          <w:szCs w:val="24"/>
        </w:rPr>
        <w:lastRenderedPageBreak/>
        <w:t>Finally, the “</w:t>
      </w:r>
      <w:proofErr w:type="spellStart"/>
      <w:r>
        <w:rPr>
          <w:sz w:val="24"/>
          <w:szCs w:val="24"/>
        </w:rPr>
        <w:t>financialization</w:t>
      </w:r>
      <w:proofErr w:type="spellEnd"/>
      <w:r>
        <w:rPr>
          <w:sz w:val="24"/>
          <w:szCs w:val="24"/>
        </w:rPr>
        <w:t xml:space="preserve">” of Ukraine’s discourse about decentralization is at odds with recently </w:t>
      </w:r>
      <w:r w:rsidR="004D525D">
        <w:rPr>
          <w:sz w:val="24"/>
          <w:szCs w:val="24"/>
        </w:rPr>
        <w:t xml:space="preserve">passed </w:t>
      </w:r>
      <w:r>
        <w:rPr>
          <w:sz w:val="24"/>
          <w:szCs w:val="24"/>
        </w:rPr>
        <w:t>legislation designed to overhaul the country’s health care system. Th</w:t>
      </w:r>
      <w:r w:rsidR="004D525D">
        <w:rPr>
          <w:sz w:val="24"/>
          <w:szCs w:val="24"/>
        </w:rPr>
        <w:t>is legislation</w:t>
      </w:r>
      <w:r>
        <w:rPr>
          <w:sz w:val="24"/>
          <w:szCs w:val="24"/>
        </w:rPr>
        <w:t xml:space="preserve"> call</w:t>
      </w:r>
      <w:r w:rsidR="004D525D">
        <w:rPr>
          <w:sz w:val="24"/>
          <w:szCs w:val="24"/>
        </w:rPr>
        <w:t>s</w:t>
      </w:r>
      <w:r>
        <w:rPr>
          <w:sz w:val="24"/>
          <w:szCs w:val="24"/>
        </w:rPr>
        <w:t xml:space="preserve"> f</w:t>
      </w:r>
      <w:r w:rsidR="004D525D">
        <w:rPr>
          <w:sz w:val="24"/>
          <w:szCs w:val="24"/>
        </w:rPr>
        <w:t>or the creation of a single-payer</w:t>
      </w:r>
      <w:r>
        <w:rPr>
          <w:sz w:val="24"/>
          <w:szCs w:val="24"/>
        </w:rPr>
        <w:t xml:space="preserve">, insurance-based system of finance that would </w:t>
      </w:r>
      <w:r w:rsidR="004D525D">
        <w:rPr>
          <w:sz w:val="24"/>
          <w:szCs w:val="24"/>
        </w:rPr>
        <w:t>fund</w:t>
      </w:r>
      <w:r>
        <w:rPr>
          <w:sz w:val="24"/>
          <w:szCs w:val="24"/>
        </w:rPr>
        <w:t xml:space="preserve"> both public and private health care providers on a fee-for-service or outc</w:t>
      </w:r>
      <w:r w:rsidR="001C6F65">
        <w:rPr>
          <w:sz w:val="24"/>
          <w:szCs w:val="24"/>
        </w:rPr>
        <w:t xml:space="preserve">ome basis. The creation of </w:t>
      </w:r>
      <w:r>
        <w:rPr>
          <w:sz w:val="24"/>
          <w:szCs w:val="24"/>
        </w:rPr>
        <w:t>a sing</w:t>
      </w:r>
      <w:r w:rsidR="001C6F65">
        <w:rPr>
          <w:sz w:val="24"/>
          <w:szCs w:val="24"/>
        </w:rPr>
        <w:t>le-payer system will leave subnational</w:t>
      </w:r>
      <w:r>
        <w:rPr>
          <w:sz w:val="24"/>
          <w:szCs w:val="24"/>
        </w:rPr>
        <w:t xml:space="preserve"> governments as the owners of many health care facilities</w:t>
      </w:r>
      <w:r w:rsidR="001C6F65">
        <w:rPr>
          <w:sz w:val="24"/>
          <w:szCs w:val="24"/>
        </w:rPr>
        <w:t xml:space="preserve">. But it will </w:t>
      </w:r>
      <w:r>
        <w:rPr>
          <w:sz w:val="24"/>
          <w:szCs w:val="24"/>
        </w:rPr>
        <w:t xml:space="preserve">relieve them of responsibility for financing their day-to-day operations. Instead, the grants that currently go to local governments to pay </w:t>
      </w:r>
      <w:r w:rsidR="001C6F65">
        <w:rPr>
          <w:sz w:val="24"/>
          <w:szCs w:val="24"/>
        </w:rPr>
        <w:t xml:space="preserve">for the day-to-day operations of health care facilities </w:t>
      </w:r>
      <w:r>
        <w:rPr>
          <w:sz w:val="24"/>
          <w:szCs w:val="24"/>
        </w:rPr>
        <w:t>will</w:t>
      </w:r>
      <w:r w:rsidR="001C6F65">
        <w:rPr>
          <w:sz w:val="24"/>
          <w:szCs w:val="24"/>
        </w:rPr>
        <w:t xml:space="preserve"> recentralized in order to fund the single payer system. </w:t>
      </w:r>
      <w:r>
        <w:rPr>
          <w:sz w:val="24"/>
          <w:szCs w:val="24"/>
        </w:rPr>
        <w:t xml:space="preserve"> </w:t>
      </w:r>
      <w:r w:rsidR="001C6F65">
        <w:rPr>
          <w:sz w:val="24"/>
          <w:szCs w:val="24"/>
        </w:rPr>
        <w:t xml:space="preserve">As result, the expected reform of the health care system will require substantially reducing subnational budgets –effectively putting </w:t>
      </w:r>
      <w:r w:rsidR="000B6FCE">
        <w:rPr>
          <w:sz w:val="24"/>
          <w:szCs w:val="24"/>
        </w:rPr>
        <w:t>health care reform</w:t>
      </w:r>
      <w:r w:rsidR="001C6F65">
        <w:rPr>
          <w:sz w:val="24"/>
          <w:szCs w:val="24"/>
        </w:rPr>
        <w:t xml:space="preserve"> on</w:t>
      </w:r>
      <w:r w:rsidR="000B6FCE">
        <w:rPr>
          <w:sz w:val="24"/>
          <w:szCs w:val="24"/>
        </w:rPr>
        <w:t xml:space="preserve"> a</w:t>
      </w:r>
      <w:r w:rsidR="001C6F65">
        <w:rPr>
          <w:sz w:val="24"/>
          <w:szCs w:val="24"/>
        </w:rPr>
        <w:t xml:space="preserve"> </w:t>
      </w:r>
      <w:r w:rsidR="00A951EB">
        <w:rPr>
          <w:sz w:val="24"/>
          <w:szCs w:val="24"/>
        </w:rPr>
        <w:t>collision course with</w:t>
      </w:r>
      <w:r w:rsidRPr="00DB233F">
        <w:rPr>
          <w:sz w:val="24"/>
          <w:szCs w:val="24"/>
        </w:rPr>
        <w:t xml:space="preserve"> </w:t>
      </w:r>
      <w:r>
        <w:rPr>
          <w:sz w:val="24"/>
          <w:szCs w:val="24"/>
        </w:rPr>
        <w:t xml:space="preserve">both the way reformers </w:t>
      </w:r>
      <w:r w:rsidR="00A951EB">
        <w:rPr>
          <w:sz w:val="24"/>
          <w:szCs w:val="24"/>
        </w:rPr>
        <w:t xml:space="preserve">have </w:t>
      </w:r>
      <w:r>
        <w:rPr>
          <w:sz w:val="24"/>
          <w:szCs w:val="24"/>
        </w:rPr>
        <w:t>talk</w:t>
      </w:r>
      <w:r w:rsidR="00A951EB">
        <w:rPr>
          <w:sz w:val="24"/>
          <w:szCs w:val="24"/>
        </w:rPr>
        <w:t>ed</w:t>
      </w:r>
      <w:r>
        <w:rPr>
          <w:sz w:val="24"/>
          <w:szCs w:val="24"/>
        </w:rPr>
        <w:t xml:space="preserve"> about</w:t>
      </w:r>
      <w:r w:rsidRPr="00DB233F">
        <w:rPr>
          <w:sz w:val="24"/>
          <w:szCs w:val="24"/>
        </w:rPr>
        <w:t xml:space="preserve"> </w:t>
      </w:r>
      <w:r>
        <w:rPr>
          <w:sz w:val="24"/>
          <w:szCs w:val="24"/>
        </w:rPr>
        <w:t>“</w:t>
      </w:r>
      <w:r w:rsidRPr="00DB233F">
        <w:rPr>
          <w:sz w:val="24"/>
          <w:szCs w:val="24"/>
        </w:rPr>
        <w:t>decentralization</w:t>
      </w:r>
      <w:r>
        <w:rPr>
          <w:sz w:val="24"/>
          <w:szCs w:val="24"/>
        </w:rPr>
        <w:t>”</w:t>
      </w:r>
      <w:r w:rsidRPr="00DB233F">
        <w:rPr>
          <w:sz w:val="24"/>
          <w:szCs w:val="24"/>
        </w:rPr>
        <w:t xml:space="preserve"> </w:t>
      </w:r>
      <w:r>
        <w:rPr>
          <w:sz w:val="24"/>
          <w:szCs w:val="24"/>
        </w:rPr>
        <w:t xml:space="preserve">and how the public has come to understand it.  </w:t>
      </w:r>
    </w:p>
    <w:p w:rsidR="006672C5" w:rsidRDefault="00A610A5" w:rsidP="006672C5">
      <w:pPr>
        <w:jc w:val="both"/>
        <w:rPr>
          <w:sz w:val="24"/>
          <w:szCs w:val="24"/>
        </w:rPr>
      </w:pPr>
      <w:r>
        <w:rPr>
          <w:sz w:val="24"/>
          <w:szCs w:val="24"/>
        </w:rPr>
        <w:t xml:space="preserve">In short, the national government needs to </w:t>
      </w:r>
      <w:r w:rsidR="00A951EB">
        <w:rPr>
          <w:sz w:val="24"/>
          <w:szCs w:val="24"/>
        </w:rPr>
        <w:t xml:space="preserve">both </w:t>
      </w:r>
      <w:r>
        <w:rPr>
          <w:sz w:val="24"/>
          <w:szCs w:val="24"/>
        </w:rPr>
        <w:t xml:space="preserve">accelerate the amalgamation process </w:t>
      </w:r>
      <w:r w:rsidR="00A951EB">
        <w:rPr>
          <w:sz w:val="24"/>
          <w:szCs w:val="24"/>
        </w:rPr>
        <w:t>and</w:t>
      </w:r>
      <w:r w:rsidR="004F7B90">
        <w:rPr>
          <w:sz w:val="24"/>
          <w:szCs w:val="24"/>
        </w:rPr>
        <w:t xml:space="preserve"> change t</w:t>
      </w:r>
      <w:r w:rsidR="00A951EB">
        <w:rPr>
          <w:sz w:val="24"/>
          <w:szCs w:val="24"/>
        </w:rPr>
        <w:t xml:space="preserve">he way </w:t>
      </w:r>
      <w:r w:rsidR="004F7B90">
        <w:rPr>
          <w:sz w:val="24"/>
          <w:szCs w:val="24"/>
        </w:rPr>
        <w:t xml:space="preserve">it explains </w:t>
      </w:r>
      <w:r w:rsidR="00A951EB">
        <w:rPr>
          <w:sz w:val="24"/>
          <w:szCs w:val="24"/>
        </w:rPr>
        <w:t>“decentralization”</w:t>
      </w:r>
      <w:r w:rsidR="004F7B90">
        <w:rPr>
          <w:sz w:val="24"/>
          <w:szCs w:val="24"/>
        </w:rPr>
        <w:t xml:space="preserve"> to the public. </w:t>
      </w:r>
      <w:bookmarkStart w:id="10" w:name="_GoBack"/>
      <w:bookmarkEnd w:id="10"/>
      <w:r w:rsidR="00A951EB">
        <w:rPr>
          <w:sz w:val="24"/>
          <w:szCs w:val="24"/>
        </w:rPr>
        <w:t xml:space="preserve"> </w:t>
      </w:r>
      <w:r>
        <w:rPr>
          <w:sz w:val="24"/>
          <w:szCs w:val="24"/>
        </w:rPr>
        <w:t>Instead of touting the financial gains of the last few year</w:t>
      </w:r>
      <w:r w:rsidR="00790FE5">
        <w:rPr>
          <w:sz w:val="24"/>
          <w:szCs w:val="24"/>
        </w:rPr>
        <w:t>s, reformers</w:t>
      </w:r>
      <w:r>
        <w:rPr>
          <w:sz w:val="24"/>
          <w:szCs w:val="24"/>
        </w:rPr>
        <w:t xml:space="preserve"> need to </w:t>
      </w:r>
      <w:r w:rsidR="00790FE5">
        <w:rPr>
          <w:sz w:val="24"/>
          <w:szCs w:val="24"/>
        </w:rPr>
        <w:t xml:space="preserve">concentrate on </w:t>
      </w:r>
      <w:r w:rsidR="00A951EB">
        <w:rPr>
          <w:sz w:val="24"/>
          <w:szCs w:val="24"/>
        </w:rPr>
        <w:t xml:space="preserve">explaining to the public why it is important that each level of subnational government be assigned the public services that it is most capable of delivering.  </w:t>
      </w:r>
      <w:proofErr w:type="gramStart"/>
      <w:r w:rsidR="00A951EB">
        <w:rPr>
          <w:sz w:val="24"/>
          <w:szCs w:val="24"/>
        </w:rPr>
        <w:t>performing</w:t>
      </w:r>
      <w:proofErr w:type="gramEnd"/>
      <w:r w:rsidR="00A951EB">
        <w:rPr>
          <w:sz w:val="24"/>
          <w:szCs w:val="24"/>
        </w:rPr>
        <w:t xml:space="preserve">. </w:t>
      </w:r>
      <w:proofErr w:type="gramStart"/>
      <w:r w:rsidR="00790FE5">
        <w:rPr>
          <w:sz w:val="24"/>
          <w:szCs w:val="24"/>
        </w:rPr>
        <w:t>aligning</w:t>
      </w:r>
      <w:proofErr w:type="gramEnd"/>
      <w:r w:rsidR="00790FE5">
        <w:rPr>
          <w:sz w:val="24"/>
          <w:szCs w:val="24"/>
        </w:rPr>
        <w:t xml:space="preserve"> </w:t>
      </w:r>
      <w:r>
        <w:rPr>
          <w:sz w:val="24"/>
          <w:szCs w:val="24"/>
        </w:rPr>
        <w:t xml:space="preserve">explaining to the public why it is necessary to </w:t>
      </w:r>
      <w:proofErr w:type="spellStart"/>
      <w:r>
        <w:rPr>
          <w:sz w:val="24"/>
          <w:szCs w:val="24"/>
        </w:rPr>
        <w:t>alignn</w:t>
      </w:r>
      <w:proofErr w:type="spellEnd"/>
      <w:r>
        <w:rPr>
          <w:sz w:val="24"/>
          <w:szCs w:val="24"/>
        </w:rPr>
        <w:t xml:space="preserve"> each level of government the responsibilities it is best suited to provide.  </w:t>
      </w:r>
      <w:proofErr w:type="spellStart"/>
      <w:r>
        <w:rPr>
          <w:sz w:val="24"/>
          <w:szCs w:val="24"/>
        </w:rPr>
        <w:t>refoIt</w:t>
      </w:r>
      <w:proofErr w:type="spellEnd"/>
      <w:r>
        <w:rPr>
          <w:sz w:val="24"/>
          <w:szCs w:val="24"/>
        </w:rPr>
        <w:t xml:space="preserve"> is thus critically important that Ukraine’s reformers change the way they are talking about </w:t>
      </w:r>
      <w:proofErr w:type="spellStart"/>
      <w:r>
        <w:rPr>
          <w:sz w:val="24"/>
          <w:szCs w:val="24"/>
        </w:rPr>
        <w:t>decentralization</w:t>
      </w:r>
      <w:r w:rsidR="000B6FCE">
        <w:rPr>
          <w:sz w:val="24"/>
          <w:szCs w:val="24"/>
        </w:rPr>
        <w:t>Moving</w:t>
      </w:r>
      <w:proofErr w:type="spellEnd"/>
      <w:r w:rsidR="000B6FCE">
        <w:rPr>
          <w:sz w:val="24"/>
          <w:szCs w:val="24"/>
        </w:rPr>
        <w:t xml:space="preserve"> towards a single payer system, and allowing private health care providers to eventually compete with public hospitals is almost certainly a good thing because at the end of th</w:t>
      </w:r>
      <w:r w:rsidR="00372271">
        <w:rPr>
          <w:sz w:val="24"/>
          <w:szCs w:val="24"/>
        </w:rPr>
        <w:t xml:space="preserve">e day </w:t>
      </w:r>
      <w:r>
        <w:rPr>
          <w:sz w:val="24"/>
          <w:szCs w:val="24"/>
        </w:rPr>
        <w:t>it is unlikely that COS and AGs</w:t>
      </w:r>
      <w:r w:rsidR="00372271">
        <w:rPr>
          <w:sz w:val="24"/>
          <w:szCs w:val="24"/>
        </w:rPr>
        <w:t xml:space="preserve"> will be capable of restructuring both Ukraine’s health and education systems</w:t>
      </w:r>
      <w:r>
        <w:rPr>
          <w:sz w:val="24"/>
          <w:szCs w:val="24"/>
        </w:rPr>
        <w:t xml:space="preserve"> at the same time</w:t>
      </w:r>
      <w:r w:rsidR="00372271">
        <w:rPr>
          <w:sz w:val="24"/>
          <w:szCs w:val="24"/>
        </w:rPr>
        <w:t xml:space="preserve">. Indeed, combined with the </w:t>
      </w:r>
      <w:r w:rsidR="00065E53">
        <w:rPr>
          <w:sz w:val="24"/>
          <w:szCs w:val="24"/>
        </w:rPr>
        <w:t xml:space="preserve">local government reforms of the last few years </w:t>
      </w:r>
      <w:r w:rsidR="00372271">
        <w:rPr>
          <w:sz w:val="24"/>
          <w:szCs w:val="24"/>
        </w:rPr>
        <w:t xml:space="preserve">the new </w:t>
      </w:r>
      <w:r w:rsidR="00065E53">
        <w:rPr>
          <w:sz w:val="24"/>
          <w:szCs w:val="24"/>
        </w:rPr>
        <w:t xml:space="preserve">health care legislation </w:t>
      </w:r>
      <w:r w:rsidR="006672C5">
        <w:rPr>
          <w:sz w:val="24"/>
          <w:szCs w:val="24"/>
        </w:rPr>
        <w:t>hold</w:t>
      </w:r>
      <w:r w:rsidR="00372271">
        <w:rPr>
          <w:sz w:val="24"/>
          <w:szCs w:val="24"/>
        </w:rPr>
        <w:t>s</w:t>
      </w:r>
      <w:r w:rsidR="006672C5" w:rsidRPr="00651A4D">
        <w:rPr>
          <w:sz w:val="24"/>
          <w:szCs w:val="24"/>
        </w:rPr>
        <w:t xml:space="preserve"> </w:t>
      </w:r>
      <w:r w:rsidR="00372271">
        <w:rPr>
          <w:sz w:val="24"/>
          <w:szCs w:val="24"/>
        </w:rPr>
        <w:t xml:space="preserve">–at least in theory-- </w:t>
      </w:r>
      <w:r w:rsidR="006672C5" w:rsidRPr="00651A4D">
        <w:rPr>
          <w:sz w:val="24"/>
          <w:szCs w:val="24"/>
        </w:rPr>
        <w:t>the promise of profoundly improving</w:t>
      </w:r>
      <w:r w:rsidR="00372271">
        <w:rPr>
          <w:sz w:val="24"/>
          <w:szCs w:val="24"/>
        </w:rPr>
        <w:t xml:space="preserve"> public sector governance in </w:t>
      </w:r>
      <w:r w:rsidR="006672C5" w:rsidRPr="00651A4D">
        <w:rPr>
          <w:sz w:val="24"/>
          <w:szCs w:val="24"/>
        </w:rPr>
        <w:t>Ukraine</w:t>
      </w:r>
      <w:r w:rsidR="00372271">
        <w:rPr>
          <w:sz w:val="24"/>
          <w:szCs w:val="24"/>
        </w:rPr>
        <w:t xml:space="preserve">: As fully democratic local governments, COS and AGs would bear clear responsibility for providing basic urban services and for reforming the country’s education system. Meanwhile, oblasts and rayons could be left as deconcentrated units of the national </w:t>
      </w:r>
      <w:proofErr w:type="gramStart"/>
      <w:r w:rsidR="00372271">
        <w:rPr>
          <w:sz w:val="24"/>
          <w:szCs w:val="24"/>
        </w:rPr>
        <w:t>government  At</w:t>
      </w:r>
      <w:proofErr w:type="gramEnd"/>
      <w:r w:rsidR="00372271">
        <w:rPr>
          <w:sz w:val="24"/>
          <w:szCs w:val="24"/>
        </w:rPr>
        <w:t xml:space="preserve"> the same time,  </w:t>
      </w:r>
      <w:r w:rsidR="006672C5" w:rsidRPr="00651A4D">
        <w:rPr>
          <w:sz w:val="24"/>
          <w:szCs w:val="24"/>
        </w:rPr>
        <w:t>assigning responsibilities to those levels of (fully) democratic government best equipped to manage and finance them</w:t>
      </w:r>
      <w:r w:rsidR="006672C5">
        <w:rPr>
          <w:sz w:val="24"/>
          <w:szCs w:val="24"/>
        </w:rPr>
        <w:t>: By concentrating responsibility</w:t>
      </w:r>
      <w:r w:rsidR="00C56D98">
        <w:rPr>
          <w:sz w:val="24"/>
          <w:szCs w:val="24"/>
        </w:rPr>
        <w:t xml:space="preserve"> for</w:t>
      </w:r>
      <w:r w:rsidR="006672C5">
        <w:rPr>
          <w:sz w:val="24"/>
          <w:szCs w:val="24"/>
        </w:rPr>
        <w:t xml:space="preserve"> most day-t</w:t>
      </w:r>
      <w:r w:rsidR="00C56D98">
        <w:rPr>
          <w:sz w:val="24"/>
          <w:szCs w:val="24"/>
        </w:rPr>
        <w:t>o-day public services at the municipal</w:t>
      </w:r>
      <w:r w:rsidR="006672C5">
        <w:rPr>
          <w:sz w:val="24"/>
          <w:szCs w:val="24"/>
        </w:rPr>
        <w:t xml:space="preserve"> and AG levels reformers </w:t>
      </w:r>
      <w:r w:rsidR="000B6FCE">
        <w:rPr>
          <w:sz w:val="24"/>
          <w:szCs w:val="24"/>
        </w:rPr>
        <w:t xml:space="preserve">would substantially </w:t>
      </w:r>
      <w:r w:rsidR="006672C5">
        <w:rPr>
          <w:sz w:val="24"/>
          <w:szCs w:val="24"/>
        </w:rPr>
        <w:t>clarify who should really be responsible for what</w:t>
      </w:r>
      <w:r w:rsidR="000B6FCE">
        <w:rPr>
          <w:sz w:val="24"/>
          <w:szCs w:val="24"/>
        </w:rPr>
        <w:t xml:space="preserve">. And by consolidating gromada, the new AG </w:t>
      </w:r>
      <w:r w:rsidR="006672C5">
        <w:rPr>
          <w:sz w:val="24"/>
          <w:szCs w:val="24"/>
        </w:rPr>
        <w:t xml:space="preserve"> in the expectation that once this is done, municipalized governments will prove capable of both improving basic public services and restructuring the country’s tragically inefficient  school system. And by recentralizing healt</w:t>
      </w:r>
      <w:r w:rsidR="00065E53">
        <w:rPr>
          <w:sz w:val="24"/>
          <w:szCs w:val="24"/>
        </w:rPr>
        <w:t xml:space="preserve">h care finance, </w:t>
      </w:r>
      <w:proofErr w:type="gramStart"/>
      <w:r w:rsidR="00065E53">
        <w:rPr>
          <w:sz w:val="24"/>
          <w:szCs w:val="24"/>
        </w:rPr>
        <w:t xml:space="preserve">they </w:t>
      </w:r>
      <w:r w:rsidR="006672C5">
        <w:rPr>
          <w:sz w:val="24"/>
          <w:szCs w:val="24"/>
        </w:rPr>
        <w:t xml:space="preserve"> acknowledging</w:t>
      </w:r>
      <w:proofErr w:type="gramEnd"/>
      <w:r w:rsidR="006672C5">
        <w:rPr>
          <w:sz w:val="24"/>
          <w:szCs w:val="24"/>
        </w:rPr>
        <w:t xml:space="preserve"> that the insurance aspect of health care requires centralization, and that the burden of restructuring of the country’s overbuilt and ineffective hospital system have to be shared between the national government and local governments.  </w:t>
      </w:r>
    </w:p>
    <w:p w:rsidR="00855C8C" w:rsidRDefault="00855C8C" w:rsidP="008D7FBF">
      <w:pPr>
        <w:jc w:val="both"/>
        <w:rPr>
          <w:sz w:val="24"/>
          <w:szCs w:val="24"/>
        </w:rPr>
      </w:pPr>
      <w:r w:rsidRPr="00741DE1">
        <w:rPr>
          <w:sz w:val="24"/>
          <w:szCs w:val="24"/>
        </w:rPr>
        <w:t xml:space="preserve">But further progress on this promising agenda will require both a change in the way </w:t>
      </w:r>
      <w:r w:rsidR="00C56D98">
        <w:rPr>
          <w:sz w:val="24"/>
          <w:szCs w:val="24"/>
        </w:rPr>
        <w:t xml:space="preserve">the </w:t>
      </w:r>
      <w:r w:rsidRPr="00741DE1">
        <w:rPr>
          <w:sz w:val="24"/>
          <w:szCs w:val="24"/>
        </w:rPr>
        <w:t xml:space="preserve">reformers </w:t>
      </w:r>
      <w:r w:rsidR="00C56D98">
        <w:rPr>
          <w:sz w:val="24"/>
          <w:szCs w:val="24"/>
        </w:rPr>
        <w:t xml:space="preserve">articulate this agenda </w:t>
      </w:r>
      <w:r w:rsidRPr="00741DE1">
        <w:rPr>
          <w:sz w:val="24"/>
          <w:szCs w:val="24"/>
        </w:rPr>
        <w:t>and the consolidation of the country’s deeply fractured elites around it. Whether either is possible remains an open question. But one thing should be clear: The c</w:t>
      </w:r>
      <w:r w:rsidR="00C56D98">
        <w:rPr>
          <w:sz w:val="24"/>
          <w:szCs w:val="24"/>
        </w:rPr>
        <w:t xml:space="preserve">lock is </w:t>
      </w:r>
      <w:r w:rsidR="00C56D98">
        <w:rPr>
          <w:sz w:val="24"/>
          <w:szCs w:val="24"/>
        </w:rPr>
        <w:lastRenderedPageBreak/>
        <w:t>ticking</w:t>
      </w:r>
      <w:r w:rsidRPr="00741DE1">
        <w:rPr>
          <w:sz w:val="24"/>
          <w:szCs w:val="24"/>
        </w:rPr>
        <w:t xml:space="preserve"> and unless some consensus can be reached about how to move forwar</w:t>
      </w:r>
      <w:r w:rsidR="00C56D98">
        <w:rPr>
          <w:sz w:val="24"/>
          <w:szCs w:val="24"/>
        </w:rPr>
        <w:t xml:space="preserve">d </w:t>
      </w:r>
      <w:r w:rsidRPr="00741DE1">
        <w:rPr>
          <w:sz w:val="24"/>
          <w:szCs w:val="24"/>
        </w:rPr>
        <w:t>quickly and forcefully, the gains of the last few years could unravel</w:t>
      </w:r>
      <w:r>
        <w:rPr>
          <w:sz w:val="24"/>
          <w:szCs w:val="24"/>
        </w:rPr>
        <w:t>.</w:t>
      </w:r>
    </w:p>
    <w:p w:rsidR="00EE6CFD" w:rsidRDefault="00EE6CFD" w:rsidP="008D7FBF">
      <w:pPr>
        <w:jc w:val="both"/>
        <w:rPr>
          <w:sz w:val="24"/>
          <w:szCs w:val="24"/>
        </w:rPr>
      </w:pPr>
    </w:p>
    <w:p w:rsidR="00EE6CFD" w:rsidRDefault="00EE6CFD">
      <w:pPr>
        <w:rPr>
          <w:sz w:val="24"/>
          <w:szCs w:val="24"/>
        </w:rPr>
      </w:pPr>
      <w:r>
        <w:rPr>
          <w:sz w:val="24"/>
          <w:szCs w:val="24"/>
        </w:rPr>
        <w:br w:type="page"/>
      </w:r>
    </w:p>
    <w:p w:rsidR="00EE6CFD" w:rsidRDefault="00EE6CFD" w:rsidP="00EE6CFD">
      <w:pPr>
        <w:jc w:val="center"/>
        <w:rPr>
          <w:sz w:val="28"/>
          <w:szCs w:val="28"/>
        </w:rPr>
      </w:pPr>
      <w:r>
        <w:rPr>
          <w:sz w:val="28"/>
          <w:szCs w:val="28"/>
        </w:rPr>
        <w:lastRenderedPageBreak/>
        <w:t>Bibliography</w:t>
      </w:r>
    </w:p>
    <w:p w:rsidR="00660A18" w:rsidRDefault="00660A18" w:rsidP="00EE6CFD">
      <w:pPr>
        <w:jc w:val="center"/>
        <w:rPr>
          <w:sz w:val="28"/>
          <w:szCs w:val="28"/>
        </w:rPr>
      </w:pPr>
    </w:p>
    <w:p w:rsidR="0073797C" w:rsidRDefault="00595AF1" w:rsidP="00EE6CFD">
      <w:pPr>
        <w:rPr>
          <w:sz w:val="24"/>
          <w:szCs w:val="24"/>
        </w:rPr>
      </w:pPr>
      <w:r>
        <w:rPr>
          <w:sz w:val="24"/>
          <w:szCs w:val="24"/>
        </w:rPr>
        <w:t>Budget Code of Ukraine</w:t>
      </w:r>
      <w:r w:rsidR="0073797C">
        <w:rPr>
          <w:sz w:val="24"/>
          <w:szCs w:val="24"/>
        </w:rPr>
        <w:t xml:space="preserve"> of 2010 (with amendments through 2014), </w:t>
      </w:r>
      <w:hyperlink r:id="rId13" w:history="1">
        <w:r w:rsidR="0073797C" w:rsidRPr="00991C1A">
          <w:rPr>
            <w:rStyle w:val="Hyperlink"/>
            <w:sz w:val="24"/>
            <w:szCs w:val="24"/>
          </w:rPr>
          <w:t>http://gogov.org.ua/wp-content/uploads/2016/05/THE-BUDGET-CODE-OF-UKRAINE.pdf</w:t>
        </w:r>
      </w:hyperlink>
    </w:p>
    <w:p w:rsidR="00595AF1" w:rsidRDefault="00EE6CFD" w:rsidP="00EE6CFD">
      <w:pPr>
        <w:rPr>
          <w:sz w:val="24"/>
          <w:szCs w:val="24"/>
        </w:rPr>
      </w:pPr>
      <w:r w:rsidRPr="00EE6CFD">
        <w:rPr>
          <w:sz w:val="24"/>
          <w:szCs w:val="24"/>
        </w:rPr>
        <w:t>Blochliger and King, “Less than You Thought: the Fiscal Autonomy of Sub-Central Governments” OECD Eco</w:t>
      </w:r>
      <w:r>
        <w:rPr>
          <w:sz w:val="24"/>
          <w:szCs w:val="24"/>
        </w:rPr>
        <w:t>nomic Studies No.43 pp. 156-186 h</w:t>
      </w:r>
      <w:r w:rsidRPr="00EE6CFD">
        <w:rPr>
          <w:color w:val="0461C1"/>
          <w:sz w:val="24"/>
          <w:szCs w:val="24"/>
        </w:rPr>
        <w:t>ttp://www.oecd.org/eco/publicfinanceandfiscalpolicy/40507581.pdf</w:t>
      </w:r>
      <w:r w:rsidRPr="00EE6CFD">
        <w:rPr>
          <w:sz w:val="24"/>
          <w:szCs w:val="24"/>
        </w:rPr>
        <w:t xml:space="preserve">.  </w:t>
      </w:r>
    </w:p>
    <w:p w:rsidR="00595AF1" w:rsidRDefault="00EE6CFD" w:rsidP="00595AF1">
      <w:pPr>
        <w:rPr>
          <w:sz w:val="24"/>
          <w:szCs w:val="24"/>
        </w:rPr>
      </w:pPr>
      <w:r w:rsidRPr="00EE6CFD">
        <w:rPr>
          <w:sz w:val="24"/>
          <w:szCs w:val="24"/>
        </w:rPr>
        <w:t xml:space="preserve">Roy </w:t>
      </w:r>
      <w:proofErr w:type="spellStart"/>
      <w:r w:rsidRPr="00EE6CFD">
        <w:rPr>
          <w:sz w:val="24"/>
          <w:szCs w:val="24"/>
        </w:rPr>
        <w:t>Bahl</w:t>
      </w:r>
      <w:proofErr w:type="spellEnd"/>
      <w:r w:rsidRPr="00EE6CFD">
        <w:rPr>
          <w:sz w:val="24"/>
          <w:szCs w:val="24"/>
        </w:rPr>
        <w:t xml:space="preserve"> and Jorge Martinez-Vazquez, “Inflation and the Real Growth of State and Local Government Expenditures” </w:t>
      </w:r>
      <w:r w:rsidRPr="00976D81">
        <w:rPr>
          <w:sz w:val="24"/>
          <w:szCs w:val="24"/>
          <w:u w:val="single"/>
        </w:rPr>
        <w:t>The American Economic Review</w:t>
      </w:r>
      <w:r w:rsidRPr="00EE6CFD">
        <w:rPr>
          <w:sz w:val="24"/>
          <w:szCs w:val="24"/>
        </w:rPr>
        <w:t xml:space="preserve">, Vol. 80, No. 2, pp. 166-179.  </w:t>
      </w:r>
    </w:p>
    <w:p w:rsidR="0099784E" w:rsidRPr="0099784E" w:rsidRDefault="0099784E" w:rsidP="00595AF1">
      <w:pPr>
        <w:rPr>
          <w:rFonts w:cs="Times New Roman"/>
          <w:sz w:val="24"/>
          <w:szCs w:val="24"/>
        </w:rPr>
      </w:pPr>
      <w:r w:rsidRPr="0099784E">
        <w:rPr>
          <w:rFonts w:cs="Times New Roman"/>
          <w:sz w:val="24"/>
          <w:szCs w:val="24"/>
        </w:rPr>
        <w:t xml:space="preserve">Adrian Campbell and Andrew Coulson (2006) “Into the mainstream: Local democracy in Central and Eastern Europe,” </w:t>
      </w:r>
      <w:r w:rsidRPr="0099784E">
        <w:rPr>
          <w:rFonts w:cs="Times New Roman"/>
          <w:sz w:val="24"/>
          <w:szCs w:val="24"/>
          <w:u w:val="single"/>
        </w:rPr>
        <w:t>Local Government Studies</w:t>
      </w:r>
      <w:r w:rsidRPr="0099784E">
        <w:rPr>
          <w:rFonts w:cs="Times New Roman"/>
          <w:sz w:val="24"/>
          <w:szCs w:val="24"/>
        </w:rPr>
        <w:t>, 32(5) pp.543-561</w:t>
      </w:r>
    </w:p>
    <w:p w:rsidR="0073797C" w:rsidRDefault="00CB1460" w:rsidP="00595AF1">
      <w:pPr>
        <w:rPr>
          <w:sz w:val="24"/>
          <w:szCs w:val="24"/>
        </w:rPr>
      </w:pPr>
      <w:r>
        <w:rPr>
          <w:sz w:val="24"/>
          <w:szCs w:val="24"/>
        </w:rPr>
        <w:t>Constitution of Ukraine of</w:t>
      </w:r>
      <w:r w:rsidR="0073797C">
        <w:rPr>
          <w:sz w:val="24"/>
          <w:szCs w:val="24"/>
        </w:rPr>
        <w:t xml:space="preserve"> 1996 </w:t>
      </w:r>
      <w:r>
        <w:rPr>
          <w:sz w:val="24"/>
          <w:szCs w:val="24"/>
        </w:rPr>
        <w:t>(</w:t>
      </w:r>
      <w:r w:rsidR="0073797C">
        <w:rPr>
          <w:sz w:val="24"/>
          <w:szCs w:val="24"/>
        </w:rPr>
        <w:t>with amendment</w:t>
      </w:r>
      <w:r>
        <w:rPr>
          <w:sz w:val="24"/>
          <w:szCs w:val="24"/>
        </w:rPr>
        <w:t>s</w:t>
      </w:r>
      <w:r w:rsidR="0073797C">
        <w:rPr>
          <w:sz w:val="24"/>
          <w:szCs w:val="24"/>
        </w:rPr>
        <w:t xml:space="preserve"> through 2006</w:t>
      </w:r>
      <w:r>
        <w:rPr>
          <w:sz w:val="24"/>
          <w:szCs w:val="24"/>
        </w:rPr>
        <w:t>)</w:t>
      </w:r>
    </w:p>
    <w:p w:rsidR="00595AF1" w:rsidRDefault="00EE6CFD" w:rsidP="00595AF1">
      <w:pPr>
        <w:rPr>
          <w:sz w:val="24"/>
          <w:szCs w:val="24"/>
        </w:rPr>
      </w:pPr>
      <w:r w:rsidRPr="00EE6CFD">
        <w:rPr>
          <w:sz w:val="24"/>
          <w:szCs w:val="24"/>
        </w:rPr>
        <w:t xml:space="preserve">Victor </w:t>
      </w:r>
      <w:proofErr w:type="spellStart"/>
      <w:r w:rsidRPr="00EE6CFD">
        <w:rPr>
          <w:sz w:val="24"/>
          <w:szCs w:val="24"/>
        </w:rPr>
        <w:t>Chumak</w:t>
      </w:r>
      <w:proofErr w:type="spellEnd"/>
      <w:r w:rsidRPr="00EE6CFD">
        <w:rPr>
          <w:sz w:val="24"/>
          <w:szCs w:val="24"/>
        </w:rPr>
        <w:t xml:space="preserve"> and </w:t>
      </w:r>
      <w:proofErr w:type="spellStart"/>
      <w:r w:rsidRPr="00EE6CFD">
        <w:rPr>
          <w:sz w:val="24"/>
          <w:szCs w:val="24"/>
        </w:rPr>
        <w:t>Ihor</w:t>
      </w:r>
      <w:proofErr w:type="spellEnd"/>
      <w:r w:rsidRPr="00EE6CFD">
        <w:rPr>
          <w:sz w:val="24"/>
          <w:szCs w:val="24"/>
        </w:rPr>
        <w:t xml:space="preserve"> </w:t>
      </w:r>
      <w:proofErr w:type="spellStart"/>
      <w:r w:rsidRPr="00EE6CFD">
        <w:rPr>
          <w:sz w:val="24"/>
          <w:szCs w:val="24"/>
        </w:rPr>
        <w:t>Shevliakov</w:t>
      </w:r>
      <w:proofErr w:type="spellEnd"/>
      <w:r w:rsidRPr="00EE6CFD">
        <w:rPr>
          <w:sz w:val="24"/>
          <w:szCs w:val="24"/>
        </w:rPr>
        <w:t>, “Local Government Functioning and Reform in Ukraine”, Norwegian Institute for Urban and Re</w:t>
      </w:r>
      <w:r w:rsidR="00595AF1">
        <w:rPr>
          <w:sz w:val="24"/>
          <w:szCs w:val="24"/>
        </w:rPr>
        <w:t>gional Research and ICPS, 2009</w:t>
      </w:r>
      <w:bookmarkStart w:id="11" w:name="bookmark2"/>
      <w:bookmarkStart w:id="12" w:name="bookmark0"/>
      <w:bookmarkEnd w:id="11"/>
      <w:bookmarkEnd w:id="12"/>
    </w:p>
    <w:p w:rsidR="00595AF1" w:rsidRPr="00595AF1" w:rsidRDefault="00595AF1" w:rsidP="00595AF1">
      <w:pPr>
        <w:rPr>
          <w:sz w:val="24"/>
          <w:szCs w:val="24"/>
        </w:rPr>
      </w:pPr>
      <w:r w:rsidRPr="00595AF1">
        <w:rPr>
          <w:sz w:val="24"/>
          <w:szCs w:val="24"/>
        </w:rPr>
        <w:t xml:space="preserve">Democracy Reporting International, “From Central Control to Local Responsibility: Decentralization in Ukraine” Briefing Paper 59, p 1-8 DRI Berlin </w:t>
      </w:r>
      <w:r w:rsidRPr="00595AF1">
        <w:rPr>
          <w:color w:val="0461C1"/>
          <w:sz w:val="24"/>
          <w:szCs w:val="24"/>
        </w:rPr>
        <w:t xml:space="preserve">www.democracy-reporting.org </w:t>
      </w:r>
      <w:r w:rsidRPr="00595AF1">
        <w:rPr>
          <w:sz w:val="24"/>
          <w:szCs w:val="24"/>
        </w:rPr>
        <w:t xml:space="preserve"> </w:t>
      </w:r>
    </w:p>
    <w:p w:rsidR="00595AF1" w:rsidRDefault="00EE6CFD" w:rsidP="00EE6CFD">
      <w:pPr>
        <w:rPr>
          <w:rFonts w:cs="Calibri"/>
          <w:sz w:val="24"/>
          <w:szCs w:val="24"/>
        </w:rPr>
      </w:pPr>
      <w:proofErr w:type="spellStart"/>
      <w:r w:rsidRPr="00EE6CFD">
        <w:rPr>
          <w:rFonts w:cs="Calibri"/>
          <w:sz w:val="24"/>
          <w:szCs w:val="24"/>
        </w:rPr>
        <w:t>Yuriy</w:t>
      </w:r>
      <w:proofErr w:type="spellEnd"/>
      <w:r w:rsidRPr="00EE6CFD">
        <w:rPr>
          <w:rFonts w:cs="Calibri"/>
          <w:sz w:val="24"/>
          <w:szCs w:val="24"/>
        </w:rPr>
        <w:t xml:space="preserve"> </w:t>
      </w:r>
      <w:proofErr w:type="spellStart"/>
      <w:r w:rsidRPr="00EE6CFD">
        <w:rPr>
          <w:rFonts w:cs="Calibri"/>
          <w:sz w:val="24"/>
          <w:szCs w:val="24"/>
        </w:rPr>
        <w:t>Dzhygyr</w:t>
      </w:r>
      <w:proofErr w:type="spellEnd"/>
      <w:r w:rsidRPr="00EE6CFD">
        <w:rPr>
          <w:rFonts w:cs="Calibri"/>
          <w:sz w:val="24"/>
          <w:szCs w:val="24"/>
        </w:rPr>
        <w:t>, “Fiscal impact of 2015 decentralization reforms on Ukraine’s</w:t>
      </w:r>
      <w:bookmarkStart w:id="13" w:name="bookmark1"/>
      <w:bookmarkEnd w:id="13"/>
      <w:r w:rsidRPr="00595AF1">
        <w:rPr>
          <w:rFonts w:cs="Calibri"/>
          <w:sz w:val="24"/>
          <w:szCs w:val="24"/>
        </w:rPr>
        <w:t xml:space="preserve"> </w:t>
      </w:r>
      <w:r w:rsidRPr="00EE6CFD">
        <w:rPr>
          <w:rFonts w:cs="Calibri"/>
          <w:sz w:val="24"/>
          <w:szCs w:val="24"/>
        </w:rPr>
        <w:t>communities: stress-test to inform targeting under the Community Social Support project” Consultant Report July</w:t>
      </w:r>
      <w:r w:rsidRPr="00595AF1">
        <w:rPr>
          <w:rFonts w:cs="Calibri"/>
          <w:sz w:val="24"/>
          <w:szCs w:val="24"/>
        </w:rPr>
        <w:t xml:space="preserve"> </w:t>
      </w:r>
      <w:r w:rsidRPr="00EE6CFD">
        <w:rPr>
          <w:rFonts w:cs="Calibri"/>
          <w:sz w:val="24"/>
          <w:szCs w:val="24"/>
        </w:rPr>
        <w:t>2015, pp. 1-28</w:t>
      </w:r>
    </w:p>
    <w:p w:rsidR="00595AF1" w:rsidRDefault="00595AF1" w:rsidP="00EE6CFD">
      <w:pPr>
        <w:rPr>
          <w:sz w:val="24"/>
          <w:szCs w:val="24"/>
        </w:rPr>
      </w:pPr>
      <w:r>
        <w:rPr>
          <w:sz w:val="24"/>
          <w:szCs w:val="24"/>
        </w:rPr>
        <w:t>Ministry of Regional Development, “Concept of Local Self-Government Reform</w:t>
      </w:r>
      <w:r w:rsidR="0073797C">
        <w:rPr>
          <w:sz w:val="24"/>
          <w:szCs w:val="24"/>
        </w:rPr>
        <w:t>,</w:t>
      </w:r>
      <w:r>
        <w:rPr>
          <w:sz w:val="24"/>
          <w:szCs w:val="24"/>
        </w:rPr>
        <w:t>” July 2014</w:t>
      </w:r>
      <w:r w:rsidR="0073797C">
        <w:rPr>
          <w:sz w:val="24"/>
          <w:szCs w:val="24"/>
        </w:rPr>
        <w:t>.</w:t>
      </w:r>
      <w:r w:rsidR="00660A18">
        <w:rPr>
          <w:sz w:val="24"/>
          <w:szCs w:val="24"/>
        </w:rPr>
        <w:t xml:space="preserve"> </w:t>
      </w:r>
      <w:r>
        <w:rPr>
          <w:sz w:val="24"/>
          <w:szCs w:val="24"/>
        </w:rPr>
        <w:t xml:space="preserve"> </w:t>
      </w:r>
      <w:r w:rsidR="00660A18">
        <w:rPr>
          <w:sz w:val="24"/>
          <w:szCs w:val="24"/>
        </w:rPr>
        <w:t xml:space="preserve">Pp. </w:t>
      </w:r>
      <w:r>
        <w:rPr>
          <w:sz w:val="24"/>
          <w:szCs w:val="24"/>
        </w:rPr>
        <w:t>1-3</w:t>
      </w:r>
    </w:p>
    <w:p w:rsidR="0073797C" w:rsidRDefault="0073797C" w:rsidP="00EE6CFD">
      <w:pPr>
        <w:rPr>
          <w:sz w:val="24"/>
          <w:szCs w:val="24"/>
        </w:rPr>
      </w:pPr>
      <w:r>
        <w:rPr>
          <w:sz w:val="24"/>
          <w:szCs w:val="24"/>
        </w:rPr>
        <w:t>Ministry of Regional Development</w:t>
      </w:r>
      <w:r w:rsidR="00CB1460">
        <w:rPr>
          <w:sz w:val="24"/>
          <w:szCs w:val="24"/>
        </w:rPr>
        <w:t>/DESPRO</w:t>
      </w:r>
      <w:r>
        <w:rPr>
          <w:sz w:val="24"/>
          <w:szCs w:val="24"/>
        </w:rPr>
        <w:t xml:space="preserve">, </w:t>
      </w:r>
      <w:r w:rsidR="00CB1460">
        <w:rPr>
          <w:sz w:val="24"/>
          <w:szCs w:val="24"/>
        </w:rPr>
        <w:t xml:space="preserve">Monthly </w:t>
      </w:r>
      <w:r>
        <w:rPr>
          <w:sz w:val="24"/>
          <w:szCs w:val="24"/>
        </w:rPr>
        <w:t xml:space="preserve">Decentralization of Power Newsletter, </w:t>
      </w:r>
      <w:r w:rsidR="00CB1460" w:rsidRPr="00CB1460">
        <w:rPr>
          <w:sz w:val="24"/>
          <w:szCs w:val="24"/>
        </w:rPr>
        <w:t>http://decentralization.gov.ua/en/newsletter</w:t>
      </w:r>
    </w:p>
    <w:p w:rsidR="0073797C" w:rsidRDefault="0073797C" w:rsidP="00EE6CFD">
      <w:pPr>
        <w:rPr>
          <w:sz w:val="24"/>
          <w:szCs w:val="24"/>
          <w:lang w:val="en-GB"/>
        </w:rPr>
      </w:pPr>
      <w:r>
        <w:rPr>
          <w:sz w:val="24"/>
          <w:szCs w:val="24"/>
        </w:rPr>
        <w:t xml:space="preserve">Tony Levitas and </w:t>
      </w:r>
      <w:proofErr w:type="spellStart"/>
      <w:r>
        <w:rPr>
          <w:sz w:val="24"/>
          <w:szCs w:val="24"/>
        </w:rPr>
        <w:t>Jasmina</w:t>
      </w:r>
      <w:proofErr w:type="spellEnd"/>
      <w:r>
        <w:rPr>
          <w:sz w:val="24"/>
          <w:szCs w:val="24"/>
        </w:rPr>
        <w:t xml:space="preserve"> </w:t>
      </w:r>
      <w:proofErr w:type="spellStart"/>
      <w:r>
        <w:rPr>
          <w:sz w:val="24"/>
          <w:szCs w:val="24"/>
        </w:rPr>
        <w:t>Djikic</w:t>
      </w:r>
      <w:proofErr w:type="spellEnd"/>
      <w:r>
        <w:rPr>
          <w:sz w:val="24"/>
          <w:szCs w:val="24"/>
        </w:rPr>
        <w:t xml:space="preserve">, </w:t>
      </w:r>
      <w:r>
        <w:rPr>
          <w:sz w:val="24"/>
          <w:szCs w:val="24"/>
          <w:lang w:val="en-GB"/>
        </w:rPr>
        <w:t>“Caught Mid-Stream:</w:t>
      </w:r>
      <w:r w:rsidRPr="00C10BE2">
        <w:t xml:space="preserve"> </w:t>
      </w:r>
      <w:r w:rsidRPr="00C10BE2">
        <w:rPr>
          <w:sz w:val="24"/>
          <w:szCs w:val="24"/>
          <w:lang w:val="en-GB"/>
        </w:rPr>
        <w:t>Local Government Finance Reform,</w:t>
      </w:r>
      <w:r>
        <w:rPr>
          <w:sz w:val="24"/>
          <w:szCs w:val="24"/>
          <w:lang w:val="en-GB"/>
        </w:rPr>
        <w:t xml:space="preserve"> </w:t>
      </w:r>
      <w:r w:rsidRPr="00C10BE2">
        <w:rPr>
          <w:sz w:val="24"/>
          <w:szCs w:val="24"/>
          <w:lang w:val="en-GB"/>
        </w:rPr>
        <w:t>and the Restructuring of Ukraine’s Public Sector</w:t>
      </w:r>
      <w:r>
        <w:rPr>
          <w:sz w:val="24"/>
          <w:szCs w:val="24"/>
          <w:lang w:val="en-GB"/>
        </w:rPr>
        <w:t xml:space="preserve"> </w:t>
      </w:r>
      <w:r w:rsidRPr="00C10BE2">
        <w:rPr>
          <w:sz w:val="24"/>
          <w:szCs w:val="24"/>
          <w:lang w:val="en-GB"/>
        </w:rPr>
        <w:t>2014 to 2016</w:t>
      </w:r>
      <w:r>
        <w:rPr>
          <w:sz w:val="24"/>
          <w:szCs w:val="24"/>
          <w:lang w:val="en-GB"/>
        </w:rPr>
        <w:t xml:space="preserve">,” SIDA/SKL June 2017 pp. 1-58 </w:t>
      </w:r>
      <w:hyperlink r:id="rId14" w:history="1">
        <w:r w:rsidRPr="005C5A04">
          <w:rPr>
            <w:rStyle w:val="Hyperlink"/>
            <w:sz w:val="24"/>
            <w:szCs w:val="24"/>
            <w:lang w:val="en-GB"/>
          </w:rPr>
          <w:t>http://sklinternational.org.ua/wp-content/uploads/2017/10/UkraineCaughtMidStream-ENG-FINAL-06.10.2017.pdf</w:t>
        </w:r>
      </w:hyperlink>
    </w:p>
    <w:p w:rsidR="00976D81" w:rsidRPr="00976D81" w:rsidRDefault="00976D81" w:rsidP="00EE6CFD">
      <w:pPr>
        <w:rPr>
          <w:sz w:val="24"/>
          <w:szCs w:val="24"/>
        </w:rPr>
      </w:pPr>
      <w:r>
        <w:rPr>
          <w:sz w:val="24"/>
          <w:szCs w:val="24"/>
        </w:rPr>
        <w:t>Tony Levitas, “</w:t>
      </w:r>
      <w:r w:rsidRPr="00976D81">
        <w:rPr>
          <w:sz w:val="24"/>
          <w:szCs w:val="24"/>
        </w:rPr>
        <w:t>Local Government Reform as State-Building: What the Polish Case Tells Us about Decentralization</w:t>
      </w:r>
      <w:r>
        <w:rPr>
          <w:sz w:val="24"/>
          <w:szCs w:val="24"/>
        </w:rPr>
        <w:t>”</w:t>
      </w:r>
      <w:r w:rsidRPr="00976D81">
        <w:rPr>
          <w:sz w:val="24"/>
          <w:szCs w:val="24"/>
        </w:rPr>
        <w:t xml:space="preserve">, </w:t>
      </w:r>
      <w:r w:rsidRPr="00976D81">
        <w:rPr>
          <w:sz w:val="24"/>
          <w:szCs w:val="24"/>
          <w:u w:val="single"/>
        </w:rPr>
        <w:t>Studies in Comparative International Development</w:t>
      </w:r>
      <w:r>
        <w:rPr>
          <w:sz w:val="24"/>
          <w:szCs w:val="24"/>
          <w:u w:val="single"/>
        </w:rPr>
        <w:t>,</w:t>
      </w:r>
      <w:r w:rsidRPr="00976D81">
        <w:t xml:space="preserve"> </w:t>
      </w:r>
      <w:r w:rsidRPr="00976D81">
        <w:rPr>
          <w:sz w:val="24"/>
          <w:szCs w:val="24"/>
        </w:rPr>
        <w:t>March 2017, Volume 52, Issue 1, pp 23–44</w:t>
      </w:r>
    </w:p>
    <w:p w:rsidR="00EE6CFD" w:rsidRPr="00595AF1" w:rsidRDefault="00EE6CFD" w:rsidP="00EE6CFD">
      <w:pPr>
        <w:rPr>
          <w:sz w:val="24"/>
          <w:szCs w:val="24"/>
        </w:rPr>
      </w:pPr>
      <w:r w:rsidRPr="00595AF1">
        <w:rPr>
          <w:sz w:val="24"/>
          <w:szCs w:val="24"/>
        </w:rPr>
        <w:t>OECD</w:t>
      </w:r>
      <w:r w:rsidR="00595AF1">
        <w:rPr>
          <w:sz w:val="24"/>
          <w:szCs w:val="24"/>
        </w:rPr>
        <w:t>, “</w:t>
      </w:r>
      <w:r w:rsidRPr="00595AF1">
        <w:rPr>
          <w:sz w:val="24"/>
          <w:szCs w:val="24"/>
        </w:rPr>
        <w:t>Territorial Reviews: Ukraine</w:t>
      </w:r>
      <w:r w:rsidR="00CB1460">
        <w:rPr>
          <w:sz w:val="24"/>
          <w:szCs w:val="24"/>
        </w:rPr>
        <w:t xml:space="preserve">”, 2013 pp. 1-182 </w:t>
      </w:r>
      <w:hyperlink r:id="rId15" w:history="1">
        <w:r w:rsidR="00CB1460" w:rsidRPr="00991C1A">
          <w:rPr>
            <w:rStyle w:val="Hyperlink"/>
            <w:sz w:val="24"/>
            <w:szCs w:val="24"/>
          </w:rPr>
          <w:t>http://ec.europa.eu/regional_policy/sources/cooperate/international/pdf/ukraine_ocde_territ_review_en.pdf</w:t>
        </w:r>
      </w:hyperlink>
    </w:p>
    <w:p w:rsidR="00CB1460" w:rsidRDefault="00CB1460" w:rsidP="00CB1460">
      <w:pPr>
        <w:pStyle w:val="FootnoteText"/>
      </w:pPr>
      <w:r>
        <w:rPr>
          <w:sz w:val="24"/>
          <w:szCs w:val="24"/>
        </w:rPr>
        <w:lastRenderedPageBreak/>
        <w:t xml:space="preserve">Ukraine Week, “Territorial Consolidation”, </w:t>
      </w:r>
      <w:hyperlink r:id="rId16" w:history="1">
        <w:r w:rsidRPr="00991C1A">
          <w:rPr>
            <w:rStyle w:val="Hyperlink"/>
          </w:rPr>
          <w:t>http://ukrainianweek.com/Society/195249</w:t>
        </w:r>
      </w:hyperlink>
    </w:p>
    <w:p w:rsidR="00CB1460" w:rsidRDefault="00CB1460" w:rsidP="00CB1460">
      <w:pPr>
        <w:pStyle w:val="FootnoteText"/>
      </w:pPr>
    </w:p>
    <w:p w:rsidR="00EE6CFD" w:rsidRDefault="00595AF1" w:rsidP="00CB1460">
      <w:pPr>
        <w:pStyle w:val="FootnoteText"/>
        <w:rPr>
          <w:sz w:val="24"/>
          <w:szCs w:val="24"/>
        </w:rPr>
      </w:pPr>
      <w:r>
        <w:rPr>
          <w:sz w:val="24"/>
          <w:szCs w:val="24"/>
        </w:rPr>
        <w:t xml:space="preserve">USAID, </w:t>
      </w:r>
      <w:r w:rsidR="00EE6CFD" w:rsidRPr="00595AF1">
        <w:rPr>
          <w:sz w:val="24"/>
          <w:szCs w:val="24"/>
        </w:rPr>
        <w:t>“Local Governance and Decentralization Assessment: Implications of Prop</w:t>
      </w:r>
      <w:r>
        <w:rPr>
          <w:sz w:val="24"/>
          <w:szCs w:val="24"/>
        </w:rPr>
        <w:t xml:space="preserve">osed reforms in Ukraine,” </w:t>
      </w:r>
      <w:r w:rsidR="00EE6CFD" w:rsidRPr="00595AF1">
        <w:rPr>
          <w:sz w:val="24"/>
          <w:szCs w:val="24"/>
        </w:rPr>
        <w:t>2014</w:t>
      </w:r>
      <w:r>
        <w:rPr>
          <w:sz w:val="24"/>
          <w:szCs w:val="24"/>
        </w:rPr>
        <w:t>, pp.</w:t>
      </w:r>
      <w:r w:rsidR="00EE6CFD" w:rsidRPr="00595AF1">
        <w:rPr>
          <w:sz w:val="24"/>
          <w:szCs w:val="24"/>
        </w:rPr>
        <w:t xml:space="preserve"> </w:t>
      </w:r>
      <w:r w:rsidR="00CB1460">
        <w:rPr>
          <w:sz w:val="24"/>
          <w:szCs w:val="24"/>
        </w:rPr>
        <w:t>1-35</w:t>
      </w:r>
    </w:p>
    <w:p w:rsidR="00CB1460" w:rsidRPr="00CB1460" w:rsidRDefault="00CB1460" w:rsidP="00CB1460">
      <w:pPr>
        <w:pStyle w:val="FootnoteText"/>
      </w:pPr>
    </w:p>
    <w:p w:rsidR="00EE6CFD" w:rsidRPr="00595AF1" w:rsidRDefault="00EE6CFD" w:rsidP="00EE6CFD">
      <w:pPr>
        <w:rPr>
          <w:sz w:val="24"/>
          <w:szCs w:val="24"/>
        </w:rPr>
      </w:pPr>
      <w:r w:rsidRPr="00595AF1">
        <w:rPr>
          <w:sz w:val="24"/>
          <w:szCs w:val="24"/>
        </w:rPr>
        <w:t xml:space="preserve">World Bank Report #42450-UA, “Ukraine: Improving Intergovernmental Fiscal Relations and Public Health and Education Expenditure Policy, Selected Issues” 2008 pp. 1-135  </w:t>
      </w:r>
    </w:p>
    <w:p w:rsidR="00EE6CFD" w:rsidRPr="00595AF1" w:rsidRDefault="00EE6CFD" w:rsidP="00EE6CFD">
      <w:pPr>
        <w:rPr>
          <w:sz w:val="24"/>
          <w:szCs w:val="24"/>
        </w:rPr>
      </w:pPr>
    </w:p>
    <w:sectPr w:rsidR="00EE6CFD" w:rsidRPr="00595AF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3F" w:rsidRDefault="005F703F" w:rsidP="00870FBA">
      <w:pPr>
        <w:spacing w:after="0" w:line="240" w:lineRule="auto"/>
      </w:pPr>
      <w:r>
        <w:separator/>
      </w:r>
    </w:p>
  </w:endnote>
  <w:endnote w:type="continuationSeparator" w:id="0">
    <w:p w:rsidR="005F703F" w:rsidRDefault="005F703F" w:rsidP="0087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335474"/>
      <w:docPartObj>
        <w:docPartGallery w:val="Page Numbers (Bottom of Page)"/>
        <w:docPartUnique/>
      </w:docPartObj>
    </w:sdtPr>
    <w:sdtEndPr>
      <w:rPr>
        <w:noProof/>
      </w:rPr>
    </w:sdtEndPr>
    <w:sdtContent>
      <w:p w:rsidR="00372271" w:rsidRDefault="00372271">
        <w:pPr>
          <w:pStyle w:val="Footer"/>
          <w:jc w:val="center"/>
        </w:pPr>
        <w:r>
          <w:fldChar w:fldCharType="begin"/>
        </w:r>
        <w:r>
          <w:instrText xml:space="preserve"> PAGE   \* MERGEFORMAT </w:instrText>
        </w:r>
        <w:r>
          <w:fldChar w:fldCharType="separate"/>
        </w:r>
        <w:r w:rsidR="004F7B90">
          <w:rPr>
            <w:noProof/>
          </w:rPr>
          <w:t>20</w:t>
        </w:r>
        <w:r>
          <w:rPr>
            <w:noProof/>
          </w:rPr>
          <w:fldChar w:fldCharType="end"/>
        </w:r>
      </w:p>
    </w:sdtContent>
  </w:sdt>
  <w:p w:rsidR="00372271" w:rsidRDefault="00372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3F" w:rsidRDefault="005F703F" w:rsidP="00870FBA">
      <w:pPr>
        <w:spacing w:after="0" w:line="240" w:lineRule="auto"/>
      </w:pPr>
      <w:r>
        <w:separator/>
      </w:r>
    </w:p>
  </w:footnote>
  <w:footnote w:type="continuationSeparator" w:id="0">
    <w:p w:rsidR="005F703F" w:rsidRDefault="005F703F" w:rsidP="00870FBA">
      <w:pPr>
        <w:spacing w:after="0" w:line="240" w:lineRule="auto"/>
      </w:pPr>
      <w:r>
        <w:continuationSeparator/>
      </w:r>
    </w:p>
  </w:footnote>
  <w:footnote w:id="1">
    <w:p w:rsidR="00372271" w:rsidRDefault="00372271" w:rsidP="008715DD">
      <w:pPr>
        <w:pStyle w:val="FootnoteText"/>
      </w:pPr>
      <w:r>
        <w:rPr>
          <w:rStyle w:val="FootnoteReference"/>
        </w:rPr>
        <w:footnoteRef/>
      </w:r>
      <w:r>
        <w:t xml:space="preserve"> These considerations are clear from a remark Poroshenko made in September 2017: "So, decentralization does work. It is an effective vaccination against federalization and a solid guarantee of the unity of our Ukraine.” </w:t>
      </w:r>
    </w:p>
    <w:p w:rsidR="00372271" w:rsidRDefault="00372271" w:rsidP="008715DD">
      <w:pPr>
        <w:pStyle w:val="FootnoteText"/>
      </w:pPr>
      <w:r>
        <w:t>Decentralization of Power Newsletter, September 2017, Ministry of Regional Development</w:t>
      </w:r>
    </w:p>
    <w:p w:rsidR="00372271" w:rsidRDefault="00372271" w:rsidP="008715DD">
      <w:pPr>
        <w:pStyle w:val="FootnoteText"/>
      </w:pPr>
    </w:p>
  </w:footnote>
  <w:footnote w:id="2">
    <w:p w:rsidR="00372271" w:rsidRPr="009818D2" w:rsidRDefault="00372271" w:rsidP="00B42753">
      <w:pPr>
        <w:pStyle w:val="FootnoteText"/>
        <w:rPr>
          <w:lang w:val="lv-LV"/>
        </w:rPr>
      </w:pPr>
      <w:r w:rsidRPr="009818D2">
        <w:rPr>
          <w:rStyle w:val="FootnoteReference"/>
        </w:rPr>
        <w:footnoteRef/>
      </w:r>
      <w:r w:rsidRPr="009818D2">
        <w:t xml:space="preserve"> The above picture would not change much for Ukraine if the data was drawn from any year since 1992</w:t>
      </w:r>
      <w:r>
        <w:t>.</w:t>
      </w:r>
      <w:r w:rsidRPr="009818D2">
        <w:t xml:space="preserve"> </w:t>
      </w:r>
      <w:r w:rsidRPr="009818D2">
        <w:rPr>
          <w:lang w:val="lv-LV"/>
        </w:rPr>
        <w:t>OECD Territor</w:t>
      </w:r>
      <w:r>
        <w:rPr>
          <w:lang w:val="lv-LV"/>
        </w:rPr>
        <w:t>ial Reviews: Ukraine, 2014, pp. 14-17</w:t>
      </w:r>
    </w:p>
    <w:p w:rsidR="00372271" w:rsidRDefault="00372271" w:rsidP="00B42753">
      <w:pPr>
        <w:pStyle w:val="FootnoteText"/>
      </w:pPr>
    </w:p>
  </w:footnote>
  <w:footnote w:id="3">
    <w:p w:rsidR="00372271" w:rsidRDefault="00372271" w:rsidP="00A9447C">
      <w:pPr>
        <w:pStyle w:val="FootnoteText"/>
      </w:pPr>
      <w:r>
        <w:rPr>
          <w:rStyle w:val="FootnoteReference"/>
        </w:rPr>
        <w:footnoteRef/>
      </w:r>
      <w:r>
        <w:t xml:space="preserve"> For more on this elsewhere in the region see </w:t>
      </w:r>
      <w:r w:rsidRPr="0099784E">
        <w:t>A</w:t>
      </w:r>
      <w:r>
        <w:t>.</w:t>
      </w:r>
      <w:r w:rsidRPr="0099784E">
        <w:t xml:space="preserve"> Campbell and A</w:t>
      </w:r>
      <w:r>
        <w:t xml:space="preserve">. </w:t>
      </w:r>
      <w:r w:rsidRPr="0099784E">
        <w:t>Coulson (2006) “Into the mainstream: Local democracy in Central and Eastern Europe,” Local Government Studies, 32(5) pp.543-561</w:t>
      </w:r>
    </w:p>
    <w:p w:rsidR="00372271" w:rsidRPr="0099784E" w:rsidRDefault="00372271" w:rsidP="00A9447C">
      <w:pPr>
        <w:pStyle w:val="FootnoteText"/>
        <w:rPr>
          <w:sz w:val="12"/>
          <w:szCs w:val="12"/>
        </w:rPr>
      </w:pPr>
    </w:p>
  </w:footnote>
  <w:footnote w:id="4">
    <w:p w:rsidR="00372271" w:rsidRDefault="00372271" w:rsidP="00870FBA">
      <w:pPr>
        <w:pStyle w:val="FootnoteText"/>
        <w:jc w:val="both"/>
      </w:pPr>
      <w:r w:rsidRPr="007D5D0B">
        <w:rPr>
          <w:rStyle w:val="FootnoteReference"/>
        </w:rPr>
        <w:footnoteRef/>
      </w:r>
      <w:r>
        <w:t xml:space="preserve"> This confusion is expressed in Article 118 of the Constitution of Ukraine, “Heads of local state administrations are appointed to office and dismissed by the President of Ukraine upon the submission of the Cabinet of Ministers of Ukraine. In the exercise of their duties, the heads of local state administrations are responsible to the President of Ukraine and to the Cabinet of Ministers of Ukraine, and are accountable to and under the control of bodies of executive power of a higher level. Local state administrations are accountable to and under the control of councils in the part of the authority delegated to them by the respective district or oblast councils. Local state administrations are accountable to and under the control of the bodies of executive power of a higher level.”  </w:t>
      </w:r>
    </w:p>
    <w:p w:rsidR="00372271" w:rsidRPr="000969DF" w:rsidRDefault="00372271" w:rsidP="00870FBA">
      <w:pPr>
        <w:pStyle w:val="FootnoteText"/>
        <w:jc w:val="both"/>
        <w:rPr>
          <w:sz w:val="12"/>
          <w:szCs w:val="12"/>
        </w:rPr>
      </w:pPr>
    </w:p>
  </w:footnote>
  <w:footnote w:id="5">
    <w:p w:rsidR="00372271" w:rsidRDefault="00372271" w:rsidP="008754AF">
      <w:pPr>
        <w:pStyle w:val="FootnoteText"/>
      </w:pPr>
      <w:r>
        <w:rPr>
          <w:rStyle w:val="FootnoteReference"/>
        </w:rPr>
        <w:footnoteRef/>
      </w:r>
      <w:r>
        <w:t xml:space="preserve"> This has led to considerable linguistic and conceptual confusion in Ukraine, because </w:t>
      </w:r>
      <w:r w:rsidRPr="001B0963">
        <w:t xml:space="preserve">Ukrainians use the term “local self-governments” </w:t>
      </w:r>
      <w:r>
        <w:t xml:space="preserve">to refer to </w:t>
      </w:r>
      <w:r w:rsidRPr="001B0963">
        <w:t>both oblasts and rayons on the one hand, and Cities and Gromada on the other –this despite the fact that only the latter have both democratically-elected councils (legislatures) and mayors (executives)</w:t>
      </w:r>
      <w:r>
        <w:t>.</w:t>
      </w:r>
    </w:p>
    <w:p w:rsidR="00372271" w:rsidRPr="0084755E" w:rsidRDefault="00372271" w:rsidP="008754AF">
      <w:pPr>
        <w:pStyle w:val="FootnoteText"/>
        <w:rPr>
          <w:sz w:val="12"/>
          <w:szCs w:val="12"/>
        </w:rPr>
      </w:pPr>
    </w:p>
  </w:footnote>
  <w:footnote w:id="6">
    <w:p w:rsidR="00372271" w:rsidRDefault="00372271" w:rsidP="008754AF">
      <w:pPr>
        <w:pStyle w:val="FootnoteText"/>
      </w:pPr>
      <w:r>
        <w:rPr>
          <w:rStyle w:val="FootnoteReference"/>
        </w:rPr>
        <w:footnoteRef/>
      </w:r>
      <w:r>
        <w:t xml:space="preserve"> Henceforth we refer to COS as Cities. But it should be noted that many COS have populations under 25,000 people, and that many of them are really towns not cities.  </w:t>
      </w:r>
    </w:p>
    <w:p w:rsidR="00372271" w:rsidRPr="00660A18" w:rsidRDefault="00372271" w:rsidP="008754AF">
      <w:pPr>
        <w:pStyle w:val="FootnoteText"/>
        <w:rPr>
          <w:sz w:val="12"/>
          <w:szCs w:val="12"/>
        </w:rPr>
      </w:pPr>
    </w:p>
  </w:footnote>
  <w:footnote w:id="7">
    <w:p w:rsidR="00372271" w:rsidRDefault="00372271" w:rsidP="003042B2">
      <w:pPr>
        <w:pStyle w:val="FootnoteText"/>
        <w:jc w:val="both"/>
      </w:pPr>
      <w:r>
        <w:rPr>
          <w:rStyle w:val="FootnoteReference"/>
        </w:rPr>
        <w:footnoteRef/>
      </w:r>
      <w:r>
        <w:t xml:space="preserve"> Victor </w:t>
      </w:r>
      <w:proofErr w:type="spellStart"/>
      <w:r>
        <w:t>Chumak</w:t>
      </w:r>
      <w:proofErr w:type="spellEnd"/>
      <w:r>
        <w:t xml:space="preserve"> and </w:t>
      </w:r>
      <w:proofErr w:type="spellStart"/>
      <w:r>
        <w:t>Ihor</w:t>
      </w:r>
      <w:proofErr w:type="spellEnd"/>
      <w:r>
        <w:t xml:space="preserve"> </w:t>
      </w:r>
      <w:proofErr w:type="spellStart"/>
      <w:r>
        <w:t>Shevliakov</w:t>
      </w:r>
      <w:proofErr w:type="spellEnd"/>
      <w:r>
        <w:t xml:space="preserve">, “Local Government Functioning and Reform in Ukraine,” Norwegian Institute for Urban and Regional Research and ICPS, 2009. These plans were heavily influenced by the Polish model of decentralization -which in turn owes much to Scandinavia, where public service provision is also concentrated at the municipal level. </w:t>
      </w:r>
    </w:p>
    <w:p w:rsidR="00372271" w:rsidRPr="0077064D" w:rsidRDefault="00372271" w:rsidP="003042B2">
      <w:pPr>
        <w:pStyle w:val="FootnoteText"/>
        <w:rPr>
          <w:sz w:val="12"/>
          <w:szCs w:val="12"/>
        </w:rPr>
      </w:pPr>
    </w:p>
  </w:footnote>
  <w:footnote w:id="8">
    <w:p w:rsidR="00372271" w:rsidRDefault="00372271" w:rsidP="007E4F41">
      <w:pPr>
        <w:pStyle w:val="FootnoteText"/>
        <w:jc w:val="both"/>
      </w:pPr>
      <w:r>
        <w:rPr>
          <w:rStyle w:val="FootnoteReference"/>
        </w:rPr>
        <w:footnoteRef/>
      </w:r>
      <w:r>
        <w:t xml:space="preserve"> “Local Governance and Decentralization Assessment: Implications of Proposed Reforms in Ukraine,” USAID, 2014. pp.15-16</w:t>
      </w:r>
    </w:p>
    <w:p w:rsidR="00372271" w:rsidRPr="00CC7DF5" w:rsidRDefault="00372271" w:rsidP="007E4F41">
      <w:pPr>
        <w:pStyle w:val="FootnoteText"/>
        <w:jc w:val="both"/>
        <w:rPr>
          <w:sz w:val="12"/>
          <w:szCs w:val="12"/>
        </w:rPr>
      </w:pPr>
    </w:p>
  </w:footnote>
  <w:footnote w:id="9">
    <w:p w:rsidR="00372271" w:rsidRDefault="00372271" w:rsidP="00316EDD">
      <w:pPr>
        <w:pStyle w:val="FootnoteText"/>
        <w:jc w:val="both"/>
      </w:pPr>
      <w:r>
        <w:rPr>
          <w:rStyle w:val="FootnoteReference"/>
        </w:rPr>
        <w:footnoteRef/>
      </w:r>
      <w:r>
        <w:t xml:space="preserve"> According to the last Soviet census, Ukraine had a population of 51.7 million people in 1987. The 2001 census put the population at 48.4 million people. In 2014, </w:t>
      </w:r>
      <w:r w:rsidRPr="00B71B7C">
        <w:rPr>
          <w:i/>
        </w:rPr>
        <w:t>and before the loss of Crimea and parts of the Donbas</w:t>
      </w:r>
      <w:r>
        <w:t>, the State Statistical Agency estimated that the population of Ukraine had fallen to 45.2 million, a decline of more than 10%. Following the loss of Crimea and the occupied areas of the Donetsk and Lugansk oblasts, the population under control of the Ukrainian state has fallen to about 38.5 million.</w:t>
      </w:r>
    </w:p>
    <w:p w:rsidR="00372271" w:rsidRPr="009B330F" w:rsidRDefault="00372271" w:rsidP="00316EDD">
      <w:pPr>
        <w:pStyle w:val="FootnoteText"/>
        <w:rPr>
          <w:sz w:val="12"/>
          <w:szCs w:val="12"/>
        </w:rPr>
      </w:pPr>
    </w:p>
  </w:footnote>
  <w:footnote w:id="10">
    <w:p w:rsidR="00372271" w:rsidRDefault="00372271" w:rsidP="0013195C">
      <w:pPr>
        <w:pStyle w:val="FootnoteText"/>
        <w:jc w:val="both"/>
      </w:pPr>
      <w:r>
        <w:rPr>
          <w:rStyle w:val="FootnoteReference"/>
        </w:rPr>
        <w:footnoteRef/>
      </w:r>
      <w:r>
        <w:t xml:space="preserve"> </w:t>
      </w:r>
      <w:r w:rsidRPr="00CF294C">
        <w:t xml:space="preserve">In 2005, </w:t>
      </w:r>
      <w:r>
        <w:t xml:space="preserve">Ukraine had </w:t>
      </w:r>
      <w:r w:rsidRPr="00CF294C">
        <w:t xml:space="preserve">868 </w:t>
      </w:r>
      <w:r>
        <w:t xml:space="preserve">hospital </w:t>
      </w:r>
      <w:r w:rsidRPr="00CF294C">
        <w:t xml:space="preserve">beds, 302 doctors, and 781 nurses </w:t>
      </w:r>
      <w:r>
        <w:t xml:space="preserve">per 100,000 inhabitants. The average for the EU was </w:t>
      </w:r>
      <w:r w:rsidRPr="00CF294C">
        <w:t>644</w:t>
      </w:r>
      <w:r>
        <w:t xml:space="preserve"> hospital</w:t>
      </w:r>
      <w:r w:rsidRPr="00CF294C">
        <w:t xml:space="preserve"> beds, 262 doctors, and 548 nurses</w:t>
      </w:r>
      <w:r>
        <w:t xml:space="preserve"> per 100,000. In 2008, Ukraine’s </w:t>
      </w:r>
      <w:r w:rsidRPr="00CF294C">
        <w:t>9.4 pupils per teache</w:t>
      </w:r>
      <w:r>
        <w:t xml:space="preserve">r was </w:t>
      </w:r>
      <w:r w:rsidRPr="00CF294C">
        <w:t>half the OECD</w:t>
      </w:r>
      <w:r>
        <w:t xml:space="preserve"> average.  World Bank Report #42450-UA, “Ukraine: Improving Intergovernmental Fiscal Relations and Public Health and Education Expenditure Policy” 2008. pp. 1-135 </w:t>
      </w:r>
    </w:p>
    <w:p w:rsidR="00372271" w:rsidRPr="00032E06" w:rsidRDefault="00372271" w:rsidP="0013195C">
      <w:pPr>
        <w:pStyle w:val="FootnoteText"/>
        <w:rPr>
          <w:sz w:val="12"/>
          <w:szCs w:val="12"/>
        </w:rPr>
      </w:pPr>
    </w:p>
  </w:footnote>
  <w:footnote w:id="11">
    <w:p w:rsidR="00372271" w:rsidRDefault="00372271" w:rsidP="008D14EC">
      <w:pPr>
        <w:pStyle w:val="FootnoteText"/>
        <w:jc w:val="both"/>
        <w:rPr>
          <w:rStyle w:val="Hyperlink"/>
        </w:rPr>
      </w:pPr>
      <w:r>
        <w:rPr>
          <w:rStyle w:val="FootnoteReference"/>
        </w:rPr>
        <w:footnoteRef/>
      </w:r>
      <w:r>
        <w:t xml:space="preserve"> To be fair, some of the opposition to reform had shifted: The ceasefire agreements brokered </w:t>
      </w:r>
      <w:r w:rsidRPr="004C5765">
        <w:t>by the E</w:t>
      </w:r>
      <w:r>
        <w:t xml:space="preserve">U </w:t>
      </w:r>
      <w:r w:rsidRPr="004C5765">
        <w:t>in September</w:t>
      </w:r>
      <w:r>
        <w:t xml:space="preserve"> 2014 (“Minsk Protocols),</w:t>
      </w:r>
      <w:r w:rsidRPr="004C5765">
        <w:t xml:space="preserve"> called for giving the occupied rayons of </w:t>
      </w:r>
      <w:r>
        <w:t xml:space="preserve">the Lugansk and Donetsk </w:t>
      </w:r>
      <w:r w:rsidRPr="004C5765">
        <w:t xml:space="preserve">oblasts special powers. </w:t>
      </w:r>
      <w:r>
        <w:t xml:space="preserve">On the “right,” </w:t>
      </w:r>
      <w:r w:rsidRPr="004C5765">
        <w:t xml:space="preserve">this provoked fears that the </w:t>
      </w:r>
      <w:r>
        <w:t xml:space="preserve">election of oblast governors would do more to facilitate separatism than reform. Meanwhile, the “left” wanted the new national oversight bodies designed to ensure that oblasts and rayons acted within the law (and for example, did not pursue separatist policies) to be subordinated to parliament and not the president. See Democracy Reporting International, “From Central Control to Local Responsibility: Decentralization in Ukraine” Briefing Paper 59, p 1-8 DRI Berlin </w:t>
      </w:r>
      <w:hyperlink r:id="rId1" w:history="1">
        <w:r w:rsidRPr="00921D3F">
          <w:rPr>
            <w:rStyle w:val="Hyperlink"/>
          </w:rPr>
          <w:t>www.democracy-reporting.org</w:t>
        </w:r>
      </w:hyperlink>
    </w:p>
    <w:p w:rsidR="00372271" w:rsidRPr="00F5403B" w:rsidRDefault="00372271">
      <w:pPr>
        <w:pStyle w:val="FootnoteText"/>
        <w:rPr>
          <w:sz w:val="12"/>
          <w:szCs w:val="12"/>
        </w:rPr>
      </w:pPr>
    </w:p>
  </w:footnote>
  <w:footnote w:id="12">
    <w:p w:rsidR="00372271" w:rsidRDefault="00372271" w:rsidP="00870FBA">
      <w:pPr>
        <w:pStyle w:val="FootnoteText"/>
        <w:jc w:val="both"/>
      </w:pPr>
      <w:r>
        <w:rPr>
          <w:rStyle w:val="FootnoteReference"/>
        </w:rPr>
        <w:footnoteRef/>
      </w:r>
      <w:r>
        <w:t xml:space="preserve"> </w:t>
      </w:r>
      <w:proofErr w:type="spellStart"/>
      <w:r>
        <w:t>Dzhygyr</w:t>
      </w:r>
      <w:proofErr w:type="spellEnd"/>
      <w:r>
        <w:t>, “</w:t>
      </w:r>
      <w:r w:rsidRPr="00F85300">
        <w:t>Fiscal impact of 2015 decentralization reforms on Ukraine’s communities: stress-test to inform targeting under the Community Social Support project</w:t>
      </w:r>
      <w:r>
        <w:t>” Consultant Report July 2015, pp. 1-28</w:t>
      </w:r>
    </w:p>
    <w:p w:rsidR="00372271" w:rsidRPr="00536619" w:rsidRDefault="00372271" w:rsidP="00870FBA">
      <w:pPr>
        <w:pStyle w:val="FootnoteText"/>
        <w:rPr>
          <w:sz w:val="12"/>
          <w:szCs w:val="12"/>
        </w:rPr>
      </w:pPr>
    </w:p>
  </w:footnote>
  <w:footnote w:id="13">
    <w:p w:rsidR="00372271" w:rsidRDefault="00372271">
      <w:pPr>
        <w:pStyle w:val="FootnoteText"/>
      </w:pPr>
      <w:r>
        <w:rPr>
          <w:rStyle w:val="FootnoteReference"/>
        </w:rPr>
        <w:footnoteRef/>
      </w:r>
      <w:r>
        <w:t xml:space="preserve"> See for example the monthly “Decentralization of Power” Newsletter put out by the Ministry of Regional Development. </w:t>
      </w:r>
    </w:p>
    <w:p w:rsidR="00372271" w:rsidRPr="00206108" w:rsidRDefault="00372271">
      <w:pPr>
        <w:pStyle w:val="FootnoteText"/>
        <w:rPr>
          <w:sz w:val="12"/>
          <w:szCs w:val="12"/>
        </w:rPr>
      </w:pPr>
    </w:p>
  </w:footnote>
  <w:footnote w:id="14">
    <w:p w:rsidR="00372271" w:rsidRDefault="00372271" w:rsidP="00A721EF">
      <w:pPr>
        <w:pStyle w:val="FootnoteText"/>
        <w:jc w:val="both"/>
      </w:pPr>
      <w:r>
        <w:rPr>
          <w:rStyle w:val="FootnoteReference"/>
        </w:rPr>
        <w:footnoteRef/>
      </w:r>
      <w:r>
        <w:t xml:space="preserve"> Subsidies to Institutions fell in 2015 because the national government eliminated a transfer to subnational governments designed to provide price supports to public utilities. In 2016, this subsidy was reinstated, but was now directed not to utilities, but to poor households so that they could pay their utility bills. It is this transfer that increases rayon budgets in 2016 and which we discuss below.</w:t>
      </w:r>
    </w:p>
    <w:p w:rsidR="00372271" w:rsidRPr="00591138" w:rsidRDefault="00372271" w:rsidP="00A721EF">
      <w:pPr>
        <w:pStyle w:val="FootnoteText"/>
        <w:rPr>
          <w:sz w:val="12"/>
          <w:szCs w:val="12"/>
        </w:rPr>
      </w:pPr>
    </w:p>
  </w:footnote>
  <w:footnote w:id="15">
    <w:p w:rsidR="00372271" w:rsidRDefault="00372271" w:rsidP="00C40BEB">
      <w:pPr>
        <w:pStyle w:val="FootnoteText"/>
        <w:jc w:val="both"/>
      </w:pPr>
      <w:r w:rsidRPr="007C1419">
        <w:rPr>
          <w:rStyle w:val="FootnoteReference"/>
        </w:rPr>
        <w:footnoteRef/>
      </w:r>
      <w:r w:rsidRPr="007C1419">
        <w:t xml:space="preserve"> In 2017, the national government</w:t>
      </w:r>
      <w:r>
        <w:t xml:space="preserve"> significantly increased both public sector wages and the health and education grants that subnational governments receive to help pay for these function. Going forward, </w:t>
      </w:r>
      <w:r w:rsidRPr="007C1419">
        <w:t>it will be importan</w:t>
      </w:r>
      <w:r>
        <w:t>t to monitor how these</w:t>
      </w:r>
      <w:r w:rsidRPr="007C1419">
        <w:t xml:space="preserve"> wage increases impact</w:t>
      </w:r>
      <w:r>
        <w:t xml:space="preserve"> subnational</w:t>
      </w:r>
      <w:r w:rsidRPr="007C1419">
        <w:t xml:space="preserve"> expenditure</w:t>
      </w:r>
      <w:r>
        <w:t xml:space="preserve">s. </w:t>
      </w:r>
    </w:p>
    <w:p w:rsidR="00372271" w:rsidRPr="00516C66" w:rsidRDefault="00372271" w:rsidP="00C40BEB">
      <w:pPr>
        <w:pStyle w:val="FootnoteText"/>
        <w:jc w:val="both"/>
        <w:rPr>
          <w:sz w:val="12"/>
          <w:szCs w:val="12"/>
        </w:rPr>
      </w:pPr>
    </w:p>
  </w:footnote>
  <w:footnote w:id="16">
    <w:p w:rsidR="00372271" w:rsidRDefault="00372271">
      <w:pPr>
        <w:pStyle w:val="FootnoteText"/>
      </w:pPr>
      <w:r>
        <w:rPr>
          <w:rStyle w:val="FootnoteReference"/>
        </w:rPr>
        <w:footnoteRef/>
      </w:r>
      <w:r>
        <w:t xml:space="preserve"> These units were formed in 2015 but could not begin operations until 2016, and after they had held their first elections late in the year.</w:t>
      </w:r>
    </w:p>
  </w:footnote>
  <w:footnote w:id="17">
    <w:p w:rsidR="00372271" w:rsidRDefault="00372271" w:rsidP="00497BD9">
      <w:pPr>
        <w:pStyle w:val="FootnoteText"/>
      </w:pPr>
      <w:r>
        <w:rPr>
          <w:rStyle w:val="FootnoteReference"/>
        </w:rPr>
        <w:footnoteRef/>
      </w:r>
      <w:r>
        <w:t xml:space="preserve"> Because none of AGs constituted after 2015 have functioned for a full budget year –and some of them have yet to start functioning at all, the financial analysis that follows covers only the first 159 gromada. But the AGs created after 2016 are slightly more populous, and the average population of all AGs is has gone up for 8700 (159) to 8900 (413).</w:t>
      </w:r>
    </w:p>
  </w:footnote>
  <w:footnote w:id="18">
    <w:p w:rsidR="00372271" w:rsidRDefault="00372271">
      <w:pPr>
        <w:pStyle w:val="FootnoteText"/>
      </w:pPr>
      <w:r>
        <w:rPr>
          <w:rStyle w:val="FootnoteReference"/>
        </w:rPr>
        <w:footnoteRef/>
      </w:r>
      <w:r>
        <w:t xml:space="preserve"> See for example some of the accounts of the amalgamation process chronicled in Ukrainian Week </w:t>
      </w:r>
      <w:hyperlink r:id="rId2" w:history="1">
        <w:r w:rsidRPr="00991C1A">
          <w:rPr>
            <w:rStyle w:val="Hyperlink"/>
          </w:rPr>
          <w:t>http://ukrainianweek.com/Society/195249</w:t>
        </w:r>
      </w:hyperlink>
    </w:p>
    <w:p w:rsidR="00372271" w:rsidRDefault="00372271">
      <w:pPr>
        <w:pStyle w:val="FootnoteText"/>
      </w:pPr>
    </w:p>
  </w:footnote>
  <w:footnote w:id="19">
    <w:p w:rsidR="00372271" w:rsidRDefault="00372271" w:rsidP="00431E7F">
      <w:pPr>
        <w:pStyle w:val="FootnoteText"/>
        <w:jc w:val="both"/>
      </w:pPr>
      <w:r>
        <w:rPr>
          <w:rStyle w:val="FootnoteReference"/>
        </w:rPr>
        <w:footnoteRef/>
      </w:r>
      <w:r>
        <w:t xml:space="preserve"> </w:t>
      </w:r>
      <w:r w:rsidRPr="00944DD5">
        <w:t>In this context, it is also important to understand that the particular way PIT is shared with local governments in Ukraine intensifies the more general pressure that PIT-sharing creates for self-segregation during the amalgamation process. In Ukraine, PIT is shared not on the basis of where employees live –as it is in most of the EU and North America-- but on the basis of the location of the enterprises in which they work. This means that the PIT-shares of people who commute to work in other jurisdictions go not to the budgets of the communities in which they live, but to the budgets of the towns in which they work. This is clearly unfair. But it also creates very strong and perverse incentives for gromada that contain area wide employers to try to separate themselves out from their neighbors</w:t>
      </w:r>
      <w:r>
        <w:t>. It is also worth noting that these perverse incentives are not limited to AG per se but and can also help block the incorporation of rural areas in cities (COS)&gt;</w:t>
      </w:r>
    </w:p>
  </w:footnote>
  <w:footnote w:id="20">
    <w:p w:rsidR="00372271" w:rsidRDefault="00372271" w:rsidP="002D380B">
      <w:pPr>
        <w:pStyle w:val="FootnoteText"/>
      </w:pPr>
      <w:r>
        <w:rPr>
          <w:rStyle w:val="FootnoteReference"/>
        </w:rPr>
        <w:footnoteRef/>
      </w:r>
      <w:r>
        <w:t xml:space="preserve"> Levitas and </w:t>
      </w:r>
      <w:proofErr w:type="spellStart"/>
      <w:r>
        <w:t>Djikic</w:t>
      </w:r>
      <w:proofErr w:type="spellEnd"/>
      <w:r w:rsidRPr="004F43C0">
        <w:t xml:space="preserve">, </w:t>
      </w:r>
      <w:r w:rsidRPr="004F43C0">
        <w:rPr>
          <w:lang w:val="en-GB"/>
        </w:rPr>
        <w:t>“Caught Mid-Stream:</w:t>
      </w:r>
      <w:r w:rsidRPr="004F43C0">
        <w:t xml:space="preserve"> </w:t>
      </w:r>
      <w:r w:rsidRPr="004F43C0">
        <w:rPr>
          <w:lang w:val="en-GB"/>
        </w:rPr>
        <w:t xml:space="preserve">Local Government Finance Reform, and the Restructuring of Ukraine’s Public Sector 2014 to 2016” </w:t>
      </w:r>
      <w:r>
        <w:rPr>
          <w:lang w:val="en-GB"/>
        </w:rPr>
        <w:t xml:space="preserve">SIDA, 2017, pp. 18-22 </w:t>
      </w:r>
      <w:r w:rsidRPr="004F43C0">
        <w:rPr>
          <w:lang w:val="en-GB"/>
        </w:rPr>
        <w:t xml:space="preserve"> </w:t>
      </w:r>
      <w:hyperlink r:id="rId3" w:history="1">
        <w:r w:rsidRPr="004F43C0">
          <w:rPr>
            <w:rStyle w:val="Hyperlink"/>
            <w:lang w:val="en-GB"/>
          </w:rPr>
          <w:t>http://sklinternational.org.ua/wp-content/uploads/2017/10/UkraineCaughtMidStream-ENG-FINAL-06.10.2017.pdf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0B7"/>
    <w:multiLevelType w:val="hybridMultilevel"/>
    <w:tmpl w:val="687819EC"/>
    <w:lvl w:ilvl="0" w:tplc="4888E8A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E278B"/>
    <w:multiLevelType w:val="hybridMultilevel"/>
    <w:tmpl w:val="92EA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5567D"/>
    <w:multiLevelType w:val="hybridMultilevel"/>
    <w:tmpl w:val="78B8CD52"/>
    <w:lvl w:ilvl="0" w:tplc="139227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4053DD"/>
    <w:multiLevelType w:val="hybridMultilevel"/>
    <w:tmpl w:val="BEE25ADA"/>
    <w:lvl w:ilvl="0" w:tplc="83609DC2">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BA"/>
    <w:rsid w:val="0003381D"/>
    <w:rsid w:val="00047C3B"/>
    <w:rsid w:val="00047DCD"/>
    <w:rsid w:val="000647B4"/>
    <w:rsid w:val="00065E53"/>
    <w:rsid w:val="00067BA3"/>
    <w:rsid w:val="000777BE"/>
    <w:rsid w:val="0008706B"/>
    <w:rsid w:val="00087E6D"/>
    <w:rsid w:val="00095664"/>
    <w:rsid w:val="000A0199"/>
    <w:rsid w:val="000B0941"/>
    <w:rsid w:val="000B27CC"/>
    <w:rsid w:val="000B6FCE"/>
    <w:rsid w:val="000D2614"/>
    <w:rsid w:val="00102829"/>
    <w:rsid w:val="0013060E"/>
    <w:rsid w:val="0013195C"/>
    <w:rsid w:val="001522A7"/>
    <w:rsid w:val="0018312C"/>
    <w:rsid w:val="00186848"/>
    <w:rsid w:val="00190808"/>
    <w:rsid w:val="001A37F1"/>
    <w:rsid w:val="001B0963"/>
    <w:rsid w:val="001B2C5D"/>
    <w:rsid w:val="001B772B"/>
    <w:rsid w:val="001C6F65"/>
    <w:rsid w:val="001D48F7"/>
    <w:rsid w:val="001E4EB0"/>
    <w:rsid w:val="001F512F"/>
    <w:rsid w:val="001F6953"/>
    <w:rsid w:val="00205697"/>
    <w:rsid w:val="00206108"/>
    <w:rsid w:val="002142F7"/>
    <w:rsid w:val="00232FB4"/>
    <w:rsid w:val="00293542"/>
    <w:rsid w:val="002B1115"/>
    <w:rsid w:val="002C4E05"/>
    <w:rsid w:val="002C569F"/>
    <w:rsid w:val="002C57B6"/>
    <w:rsid w:val="002D380B"/>
    <w:rsid w:val="002E30FB"/>
    <w:rsid w:val="002F62CA"/>
    <w:rsid w:val="003042B2"/>
    <w:rsid w:val="00316EDD"/>
    <w:rsid w:val="003249E2"/>
    <w:rsid w:val="00325934"/>
    <w:rsid w:val="0032775D"/>
    <w:rsid w:val="00340BE7"/>
    <w:rsid w:val="00354A4E"/>
    <w:rsid w:val="00364870"/>
    <w:rsid w:val="00372271"/>
    <w:rsid w:val="00395889"/>
    <w:rsid w:val="0039705F"/>
    <w:rsid w:val="003B4ACF"/>
    <w:rsid w:val="003C0557"/>
    <w:rsid w:val="003C1B27"/>
    <w:rsid w:val="003D6FBF"/>
    <w:rsid w:val="00406DE6"/>
    <w:rsid w:val="00416A2B"/>
    <w:rsid w:val="00421953"/>
    <w:rsid w:val="004248B3"/>
    <w:rsid w:val="00431E7F"/>
    <w:rsid w:val="00433C5D"/>
    <w:rsid w:val="0045018E"/>
    <w:rsid w:val="0047155E"/>
    <w:rsid w:val="00472F9D"/>
    <w:rsid w:val="00481CD0"/>
    <w:rsid w:val="00485D83"/>
    <w:rsid w:val="00487DB7"/>
    <w:rsid w:val="00496248"/>
    <w:rsid w:val="00497BD9"/>
    <w:rsid w:val="004A2A13"/>
    <w:rsid w:val="004A649D"/>
    <w:rsid w:val="004A71A6"/>
    <w:rsid w:val="004C0539"/>
    <w:rsid w:val="004C5765"/>
    <w:rsid w:val="004C59D7"/>
    <w:rsid w:val="004D525D"/>
    <w:rsid w:val="004D5FFF"/>
    <w:rsid w:val="004E193B"/>
    <w:rsid w:val="004E35EE"/>
    <w:rsid w:val="004E37AF"/>
    <w:rsid w:val="004E3AE1"/>
    <w:rsid w:val="004E6B71"/>
    <w:rsid w:val="004F43C0"/>
    <w:rsid w:val="004F7B90"/>
    <w:rsid w:val="005007FE"/>
    <w:rsid w:val="0051492A"/>
    <w:rsid w:val="00516C66"/>
    <w:rsid w:val="00526CDE"/>
    <w:rsid w:val="00577463"/>
    <w:rsid w:val="0058308E"/>
    <w:rsid w:val="00593C29"/>
    <w:rsid w:val="00595AF1"/>
    <w:rsid w:val="005B2F58"/>
    <w:rsid w:val="005C1D82"/>
    <w:rsid w:val="005C5A04"/>
    <w:rsid w:val="005C65FA"/>
    <w:rsid w:val="005D09E4"/>
    <w:rsid w:val="005D66C8"/>
    <w:rsid w:val="005E0314"/>
    <w:rsid w:val="005F703F"/>
    <w:rsid w:val="00604414"/>
    <w:rsid w:val="00615E0A"/>
    <w:rsid w:val="006165D9"/>
    <w:rsid w:val="00621DC5"/>
    <w:rsid w:val="006266AE"/>
    <w:rsid w:val="00634EB6"/>
    <w:rsid w:val="00644838"/>
    <w:rsid w:val="00660A18"/>
    <w:rsid w:val="00665D84"/>
    <w:rsid w:val="006672C5"/>
    <w:rsid w:val="006745C8"/>
    <w:rsid w:val="006828B0"/>
    <w:rsid w:val="006865F3"/>
    <w:rsid w:val="006B06A6"/>
    <w:rsid w:val="006B60D3"/>
    <w:rsid w:val="006C4861"/>
    <w:rsid w:val="006C70B9"/>
    <w:rsid w:val="006D3360"/>
    <w:rsid w:val="007026CF"/>
    <w:rsid w:val="00706B89"/>
    <w:rsid w:val="00737302"/>
    <w:rsid w:val="0073797C"/>
    <w:rsid w:val="00771823"/>
    <w:rsid w:val="00773FC6"/>
    <w:rsid w:val="007831F4"/>
    <w:rsid w:val="00790FE5"/>
    <w:rsid w:val="007A752E"/>
    <w:rsid w:val="007B4350"/>
    <w:rsid w:val="007B6E2E"/>
    <w:rsid w:val="007C0B69"/>
    <w:rsid w:val="007C7548"/>
    <w:rsid w:val="007E02A9"/>
    <w:rsid w:val="007E4BF9"/>
    <w:rsid w:val="007E4F41"/>
    <w:rsid w:val="008100A8"/>
    <w:rsid w:val="00812DCF"/>
    <w:rsid w:val="00822466"/>
    <w:rsid w:val="008330E4"/>
    <w:rsid w:val="0084755E"/>
    <w:rsid w:val="00855C8C"/>
    <w:rsid w:val="00870FBA"/>
    <w:rsid w:val="008715DD"/>
    <w:rsid w:val="008754AF"/>
    <w:rsid w:val="008A38FD"/>
    <w:rsid w:val="008D0D48"/>
    <w:rsid w:val="008D14EC"/>
    <w:rsid w:val="008D7FBF"/>
    <w:rsid w:val="008F25D7"/>
    <w:rsid w:val="008F32C1"/>
    <w:rsid w:val="00914D2C"/>
    <w:rsid w:val="0092573D"/>
    <w:rsid w:val="009353C0"/>
    <w:rsid w:val="00944DD5"/>
    <w:rsid w:val="00961084"/>
    <w:rsid w:val="00961EA4"/>
    <w:rsid w:val="00963B08"/>
    <w:rsid w:val="00976D81"/>
    <w:rsid w:val="009818D2"/>
    <w:rsid w:val="0099192A"/>
    <w:rsid w:val="00991FE4"/>
    <w:rsid w:val="009920D0"/>
    <w:rsid w:val="0099784E"/>
    <w:rsid w:val="009A3837"/>
    <w:rsid w:val="009A4C75"/>
    <w:rsid w:val="009B65FB"/>
    <w:rsid w:val="009C0F15"/>
    <w:rsid w:val="009C1BF6"/>
    <w:rsid w:val="009C39E4"/>
    <w:rsid w:val="009D521E"/>
    <w:rsid w:val="009E298F"/>
    <w:rsid w:val="009E5520"/>
    <w:rsid w:val="009F7A0A"/>
    <w:rsid w:val="00A009C4"/>
    <w:rsid w:val="00A105D8"/>
    <w:rsid w:val="00A211BC"/>
    <w:rsid w:val="00A41E0B"/>
    <w:rsid w:val="00A610A5"/>
    <w:rsid w:val="00A708AD"/>
    <w:rsid w:val="00A721EF"/>
    <w:rsid w:val="00A913A8"/>
    <w:rsid w:val="00A9447C"/>
    <w:rsid w:val="00A951EB"/>
    <w:rsid w:val="00AA150E"/>
    <w:rsid w:val="00AC2200"/>
    <w:rsid w:val="00AC46F4"/>
    <w:rsid w:val="00AC6A5A"/>
    <w:rsid w:val="00B164B5"/>
    <w:rsid w:val="00B357EA"/>
    <w:rsid w:val="00B40089"/>
    <w:rsid w:val="00B42753"/>
    <w:rsid w:val="00B45EEB"/>
    <w:rsid w:val="00B62ADA"/>
    <w:rsid w:val="00B71B7C"/>
    <w:rsid w:val="00B97138"/>
    <w:rsid w:val="00BF1BA0"/>
    <w:rsid w:val="00C00825"/>
    <w:rsid w:val="00C10BE2"/>
    <w:rsid w:val="00C40BEB"/>
    <w:rsid w:val="00C40FAC"/>
    <w:rsid w:val="00C505D4"/>
    <w:rsid w:val="00C56D98"/>
    <w:rsid w:val="00C722CB"/>
    <w:rsid w:val="00C91115"/>
    <w:rsid w:val="00C95F57"/>
    <w:rsid w:val="00CB1460"/>
    <w:rsid w:val="00CC579E"/>
    <w:rsid w:val="00CC62F4"/>
    <w:rsid w:val="00CC7DF5"/>
    <w:rsid w:val="00CD0323"/>
    <w:rsid w:val="00CD2905"/>
    <w:rsid w:val="00CD63FD"/>
    <w:rsid w:val="00CD6A1C"/>
    <w:rsid w:val="00CE50C9"/>
    <w:rsid w:val="00CE52C6"/>
    <w:rsid w:val="00CE677E"/>
    <w:rsid w:val="00CE7D51"/>
    <w:rsid w:val="00D16EA3"/>
    <w:rsid w:val="00D232EF"/>
    <w:rsid w:val="00D35968"/>
    <w:rsid w:val="00D373F5"/>
    <w:rsid w:val="00D5134F"/>
    <w:rsid w:val="00D60046"/>
    <w:rsid w:val="00DA42DD"/>
    <w:rsid w:val="00DB2151"/>
    <w:rsid w:val="00DB6D74"/>
    <w:rsid w:val="00DB6DEF"/>
    <w:rsid w:val="00DC1EC3"/>
    <w:rsid w:val="00DC296A"/>
    <w:rsid w:val="00DD5AF7"/>
    <w:rsid w:val="00DF6155"/>
    <w:rsid w:val="00E26783"/>
    <w:rsid w:val="00E346DA"/>
    <w:rsid w:val="00E376BB"/>
    <w:rsid w:val="00E43AE5"/>
    <w:rsid w:val="00E75D1E"/>
    <w:rsid w:val="00E85635"/>
    <w:rsid w:val="00E862AA"/>
    <w:rsid w:val="00E95393"/>
    <w:rsid w:val="00EB37B0"/>
    <w:rsid w:val="00EB756E"/>
    <w:rsid w:val="00EC16E1"/>
    <w:rsid w:val="00EC4EBD"/>
    <w:rsid w:val="00EE09E1"/>
    <w:rsid w:val="00EE6CFD"/>
    <w:rsid w:val="00EF59EF"/>
    <w:rsid w:val="00F11263"/>
    <w:rsid w:val="00F22045"/>
    <w:rsid w:val="00F37C35"/>
    <w:rsid w:val="00F4095F"/>
    <w:rsid w:val="00F431CF"/>
    <w:rsid w:val="00F51A55"/>
    <w:rsid w:val="00F5403B"/>
    <w:rsid w:val="00F7615B"/>
    <w:rsid w:val="00F8472B"/>
    <w:rsid w:val="00F9003C"/>
    <w:rsid w:val="00F979FF"/>
    <w:rsid w:val="00FA5975"/>
    <w:rsid w:val="00FB7908"/>
    <w:rsid w:val="00FC4E57"/>
    <w:rsid w:val="00FD38A4"/>
    <w:rsid w:val="00FD50FD"/>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F61E1-CF56-4917-889E-F16E9B6F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BA"/>
  </w:style>
  <w:style w:type="paragraph" w:styleId="Heading1">
    <w:name w:val="heading 1"/>
    <w:basedOn w:val="Normal"/>
    <w:next w:val="Normal"/>
    <w:link w:val="Heading1Char"/>
    <w:uiPriority w:val="9"/>
    <w:qFormat/>
    <w:rsid w:val="00870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B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70F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70FBA"/>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870FBA"/>
    <w:pPr>
      <w:spacing w:after="0" w:line="240" w:lineRule="auto"/>
    </w:pPr>
    <w:rPr>
      <w:sz w:val="20"/>
      <w:szCs w:val="20"/>
    </w:rPr>
  </w:style>
  <w:style w:type="character" w:customStyle="1" w:styleId="FootnoteTextChar">
    <w:name w:val="Footnote Text Char"/>
    <w:basedOn w:val="DefaultParagraphFont"/>
    <w:link w:val="FootnoteText"/>
    <w:uiPriority w:val="99"/>
    <w:rsid w:val="00870FBA"/>
    <w:rPr>
      <w:sz w:val="20"/>
      <w:szCs w:val="20"/>
    </w:rPr>
  </w:style>
  <w:style w:type="character" w:styleId="FootnoteReference">
    <w:name w:val="footnote reference"/>
    <w:basedOn w:val="DefaultParagraphFont"/>
    <w:uiPriority w:val="99"/>
    <w:semiHidden/>
    <w:unhideWhenUsed/>
    <w:rsid w:val="00870FBA"/>
    <w:rPr>
      <w:vertAlign w:val="superscript"/>
    </w:rPr>
  </w:style>
  <w:style w:type="paragraph" w:styleId="ListParagraph">
    <w:name w:val="List Paragraph"/>
    <w:basedOn w:val="Normal"/>
    <w:uiPriority w:val="34"/>
    <w:qFormat/>
    <w:rsid w:val="00870FB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0FBA"/>
    <w:rPr>
      <w:color w:val="0563C1" w:themeColor="hyperlink"/>
      <w:u w:val="single"/>
    </w:rPr>
  </w:style>
  <w:style w:type="paragraph" w:styleId="Header">
    <w:name w:val="header"/>
    <w:basedOn w:val="Normal"/>
    <w:link w:val="HeaderChar"/>
    <w:uiPriority w:val="99"/>
    <w:unhideWhenUsed/>
    <w:rsid w:val="007C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48"/>
  </w:style>
  <w:style w:type="paragraph" w:styleId="Footer">
    <w:name w:val="footer"/>
    <w:basedOn w:val="Normal"/>
    <w:link w:val="FooterChar"/>
    <w:uiPriority w:val="99"/>
    <w:unhideWhenUsed/>
    <w:rsid w:val="007C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48"/>
  </w:style>
  <w:style w:type="character" w:styleId="CommentReference">
    <w:name w:val="annotation reference"/>
    <w:basedOn w:val="DefaultParagraphFont"/>
    <w:uiPriority w:val="99"/>
    <w:semiHidden/>
    <w:unhideWhenUsed/>
    <w:rsid w:val="008F25D7"/>
    <w:rPr>
      <w:sz w:val="16"/>
      <w:szCs w:val="16"/>
    </w:rPr>
  </w:style>
  <w:style w:type="paragraph" w:styleId="CommentText">
    <w:name w:val="annotation text"/>
    <w:basedOn w:val="Normal"/>
    <w:link w:val="CommentTextChar"/>
    <w:uiPriority w:val="99"/>
    <w:semiHidden/>
    <w:unhideWhenUsed/>
    <w:rsid w:val="008F25D7"/>
    <w:pPr>
      <w:spacing w:line="240" w:lineRule="auto"/>
    </w:pPr>
    <w:rPr>
      <w:sz w:val="20"/>
      <w:szCs w:val="20"/>
    </w:rPr>
  </w:style>
  <w:style w:type="character" w:customStyle="1" w:styleId="CommentTextChar">
    <w:name w:val="Comment Text Char"/>
    <w:basedOn w:val="DefaultParagraphFont"/>
    <w:link w:val="CommentText"/>
    <w:uiPriority w:val="99"/>
    <w:semiHidden/>
    <w:rsid w:val="008F25D7"/>
    <w:rPr>
      <w:sz w:val="20"/>
      <w:szCs w:val="20"/>
    </w:rPr>
  </w:style>
  <w:style w:type="paragraph" w:styleId="BalloonText">
    <w:name w:val="Balloon Text"/>
    <w:basedOn w:val="Normal"/>
    <w:link w:val="BalloonTextChar"/>
    <w:uiPriority w:val="99"/>
    <w:semiHidden/>
    <w:unhideWhenUsed/>
    <w:rsid w:val="008F2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D7"/>
    <w:rPr>
      <w:rFonts w:ascii="Segoe UI" w:hAnsi="Segoe UI" w:cs="Segoe UI"/>
      <w:sz w:val="18"/>
      <w:szCs w:val="18"/>
    </w:rPr>
  </w:style>
  <w:style w:type="character" w:customStyle="1" w:styleId="Heading2Char">
    <w:name w:val="Heading 2 Char"/>
    <w:basedOn w:val="DefaultParagraphFont"/>
    <w:link w:val="Heading2"/>
    <w:uiPriority w:val="9"/>
    <w:rsid w:val="007C0B6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EE6CFD"/>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EE6CFD"/>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gogov.org.ua/wp-content/uploads/2016/05/THE-BUDGET-CODE-OF-UKRAIN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krainianweek.com/Society/195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ec.europa.eu/regional_policy/sources/cooperate/international/pdf/ukraine_ocde_territ_review_en.pdf"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klinternational.org.ua/wp-content/uploads/2017/10/UkraineCaughtMidStream-ENG-FINAL-06.10.20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linternational.org.ua/wp-content/uploads/2017/10/UkraineCaughtMidStream-ENG-FINAL-06.10.2017.pdf" TargetMode="External"/><Relationship Id="rId2" Type="http://schemas.openxmlformats.org/officeDocument/2006/relationships/hyperlink" Target="http://ukrainianweek.com/Society/195249" TargetMode="External"/><Relationship Id="rId1" Type="http://schemas.openxmlformats.org/officeDocument/2006/relationships/hyperlink" Target="http://www.democracy-reporting.or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tonylev\Documents\ukraine\realdata\translatercharts4-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onylev\Documents\ukraine\realdata\ChartsforTranslaterPolicyPaperMay2017.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tonylev\Documents\ukraine\realdata\ChartsforTranslaterPolicyPaperMay2017.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onylev\Documents\ukraine\realdata\ChartsforTranslaterPolicyPaperMay2017.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onylev\Documents\ukraine\realdata\ChartsforTranslaterPolicyPaperMay201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523016353725013E-2"/>
          <c:y val="4.9430545865311142E-2"/>
          <c:w val="0.91697271014200143"/>
          <c:h val="0.50872685032018061"/>
        </c:manualLayout>
      </c:layout>
      <c:barChart>
        <c:barDir val="col"/>
        <c:grouping val="clustered"/>
        <c:varyColors val="0"/>
        <c:ser>
          <c:idx val="0"/>
          <c:order val="0"/>
          <c:tx>
            <c:strRef>
              <c:f>chart1!$B$1</c:f>
              <c:strCache>
                <c:ptCount val="1"/>
                <c:pt idx="0">
                  <c:v>General Government Revenue as % of GDP</c:v>
                </c:pt>
              </c:strCache>
            </c:strRef>
          </c:tx>
          <c:spPr>
            <a:solidFill>
              <a:schemeClr val="accent6"/>
            </a:solidFill>
            <a:ln>
              <a:solidFill>
                <a:srgbClr val="00B0F0"/>
              </a:solidFill>
            </a:ln>
            <a:effectLst/>
          </c:spPr>
          <c:invertIfNegative val="0"/>
          <c:dPt>
            <c:idx val="17"/>
            <c:invertIfNegative val="0"/>
            <c:bubble3D val="0"/>
            <c:spPr>
              <a:solidFill>
                <a:schemeClr val="tx2"/>
              </a:solidFill>
              <a:ln>
                <a:solidFill>
                  <a:srgbClr val="00B0F0"/>
                </a:solidFill>
              </a:ln>
              <a:effectLst/>
            </c:spPr>
          </c:dPt>
          <c:dPt>
            <c:idx val="19"/>
            <c:invertIfNegative val="0"/>
            <c:bubble3D val="0"/>
            <c:spPr>
              <a:solidFill>
                <a:srgbClr val="00B0F0"/>
              </a:solidFill>
              <a:ln>
                <a:solidFill>
                  <a:srgbClr val="00B0F0"/>
                </a:solidFill>
              </a:ln>
              <a:effectLst/>
            </c:spPr>
          </c:dPt>
          <c:dPt>
            <c:idx val="20"/>
            <c:invertIfNegative val="0"/>
            <c:bubble3D val="0"/>
            <c:spPr>
              <a:solidFill>
                <a:srgbClr val="70AD47"/>
              </a:solidFill>
              <a:ln>
                <a:solidFill>
                  <a:srgbClr val="00B0F0"/>
                </a:solidFill>
              </a:ln>
              <a:effectLst/>
            </c:spPr>
          </c:dPt>
          <c:cat>
            <c:strRef>
              <c:f>chart1!$A$2:$A$28</c:f>
              <c:strCache>
                <c:ptCount val="27"/>
                <c:pt idx="0">
                  <c:v>Greece</c:v>
                </c:pt>
                <c:pt idx="1">
                  <c:v>Ireland</c:v>
                </c:pt>
                <c:pt idx="2">
                  <c:v>Serbia</c:v>
                </c:pt>
                <c:pt idx="3">
                  <c:v>Portugal</c:v>
                </c:pt>
                <c:pt idx="4">
                  <c:v>Hungary</c:v>
                </c:pt>
                <c:pt idx="5">
                  <c:v>Slovakia</c:v>
                </c:pt>
                <c:pt idx="6">
                  <c:v>Croatia</c:v>
                </c:pt>
                <c:pt idx="7">
                  <c:v>France</c:v>
                </c:pt>
                <c:pt idx="8">
                  <c:v>Lithuania</c:v>
                </c:pt>
                <c:pt idx="9">
                  <c:v>Bulgaria</c:v>
                </c:pt>
                <c:pt idx="10">
                  <c:v>Croatia</c:v>
                </c:pt>
                <c:pt idx="11">
                  <c:v>United Kingdom</c:v>
                </c:pt>
                <c:pt idx="12">
                  <c:v>Czech </c:v>
                </c:pt>
                <c:pt idx="13">
                  <c:v>Romania</c:v>
                </c:pt>
                <c:pt idx="14">
                  <c:v>Italy</c:v>
                </c:pt>
                <c:pt idx="15">
                  <c:v>Netherlands</c:v>
                </c:pt>
                <c:pt idx="16">
                  <c:v>Poland</c:v>
                </c:pt>
                <c:pt idx="17">
                  <c:v>EU27 Average</c:v>
                </c:pt>
                <c:pt idx="18">
                  <c:v>Austria</c:v>
                </c:pt>
                <c:pt idx="19">
                  <c:v>Ukraine (2016)</c:v>
                </c:pt>
                <c:pt idx="20">
                  <c:v>Finland</c:v>
                </c:pt>
                <c:pt idx="21">
                  <c:v>Germany*</c:v>
                </c:pt>
                <c:pt idx="22">
                  <c:v>Belgium*</c:v>
                </c:pt>
                <c:pt idx="23">
                  <c:v>Sweden</c:v>
                </c:pt>
                <c:pt idx="24">
                  <c:v>Spain*</c:v>
                </c:pt>
                <c:pt idx="25">
                  <c:v>Switzerland*</c:v>
                </c:pt>
                <c:pt idx="26">
                  <c:v>Denmark</c:v>
                </c:pt>
              </c:strCache>
            </c:strRef>
          </c:cat>
          <c:val>
            <c:numRef>
              <c:f>chart1!$B$2:$B$28</c:f>
              <c:numCache>
                <c:formatCode>#,##0.0</c:formatCode>
                <c:ptCount val="27"/>
                <c:pt idx="0">
                  <c:v>47.9</c:v>
                </c:pt>
                <c:pt idx="1">
                  <c:v>27.6</c:v>
                </c:pt>
                <c:pt idx="2">
                  <c:v>41.9</c:v>
                </c:pt>
                <c:pt idx="3">
                  <c:v>44</c:v>
                </c:pt>
                <c:pt idx="4">
                  <c:v>48.5</c:v>
                </c:pt>
                <c:pt idx="5">
                  <c:v>42.9</c:v>
                </c:pt>
                <c:pt idx="6">
                  <c:v>45</c:v>
                </c:pt>
                <c:pt idx="7">
                  <c:v>53.5</c:v>
                </c:pt>
                <c:pt idx="8">
                  <c:v>34.9</c:v>
                </c:pt>
                <c:pt idx="9">
                  <c:v>39</c:v>
                </c:pt>
                <c:pt idx="10">
                  <c:v>43.6</c:v>
                </c:pt>
                <c:pt idx="11">
                  <c:v>38.5</c:v>
                </c:pt>
                <c:pt idx="12">
                  <c:v>41.3</c:v>
                </c:pt>
                <c:pt idx="13">
                  <c:v>34.9</c:v>
                </c:pt>
                <c:pt idx="14">
                  <c:v>47.8</c:v>
                </c:pt>
                <c:pt idx="15">
                  <c:v>43.2</c:v>
                </c:pt>
                <c:pt idx="16">
                  <c:v>38.9</c:v>
                </c:pt>
                <c:pt idx="17">
                  <c:v>44.9</c:v>
                </c:pt>
                <c:pt idx="18">
                  <c:v>50.6</c:v>
                </c:pt>
                <c:pt idx="19" formatCode="0.0">
                  <c:v>36.877141645462302</c:v>
                </c:pt>
                <c:pt idx="20">
                  <c:v>54.2</c:v>
                </c:pt>
                <c:pt idx="21">
                  <c:v>44.7</c:v>
                </c:pt>
                <c:pt idx="22">
                  <c:v>51.3</c:v>
                </c:pt>
                <c:pt idx="23">
                  <c:v>50.4</c:v>
                </c:pt>
                <c:pt idx="24">
                  <c:v>38.6</c:v>
                </c:pt>
                <c:pt idx="25">
                  <c:v>35</c:v>
                </c:pt>
                <c:pt idx="26">
                  <c:v>53.5</c:v>
                </c:pt>
              </c:numCache>
            </c:numRef>
          </c:val>
        </c:ser>
        <c:ser>
          <c:idx val="1"/>
          <c:order val="1"/>
          <c:tx>
            <c:strRef>
              <c:f>chart1!$C$1</c:f>
              <c:strCache>
                <c:ptCount val="1"/>
                <c:pt idx="0">
                  <c:v>Subnational Revenue as % of GDP</c:v>
                </c:pt>
              </c:strCache>
            </c:strRef>
          </c:tx>
          <c:spPr>
            <a:solidFill>
              <a:schemeClr val="accent2"/>
            </a:solidFill>
            <a:ln>
              <a:noFill/>
            </a:ln>
            <a:effectLst/>
          </c:spPr>
          <c:invertIfNegative val="0"/>
          <c:dPt>
            <c:idx val="17"/>
            <c:invertIfNegative val="0"/>
            <c:bubble3D val="0"/>
            <c:spPr>
              <a:solidFill>
                <a:srgbClr val="FF0000"/>
              </a:solidFill>
              <a:ln>
                <a:noFill/>
              </a:ln>
              <a:effectLst/>
            </c:spPr>
          </c:dPt>
          <c:dPt>
            <c:idx val="19"/>
            <c:invertIfNegative val="0"/>
            <c:bubble3D val="0"/>
            <c:spPr>
              <a:solidFill>
                <a:srgbClr val="FFFF00"/>
              </a:solidFill>
              <a:ln>
                <a:noFill/>
              </a:ln>
              <a:effectLst/>
            </c:spPr>
          </c:dPt>
          <c:dPt>
            <c:idx val="20"/>
            <c:invertIfNegative val="0"/>
            <c:bubble3D val="0"/>
            <c:spPr>
              <a:solidFill>
                <a:srgbClr val="ED7D31"/>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chart1!$A$2:$A$28</c:f>
              <c:strCache>
                <c:ptCount val="27"/>
                <c:pt idx="0">
                  <c:v>Greece</c:v>
                </c:pt>
                <c:pt idx="1">
                  <c:v>Ireland</c:v>
                </c:pt>
                <c:pt idx="2">
                  <c:v>Serbia</c:v>
                </c:pt>
                <c:pt idx="3">
                  <c:v>Portugal</c:v>
                </c:pt>
                <c:pt idx="4">
                  <c:v>Hungary</c:v>
                </c:pt>
                <c:pt idx="5">
                  <c:v>Slovakia</c:v>
                </c:pt>
                <c:pt idx="6">
                  <c:v>Croatia</c:v>
                </c:pt>
                <c:pt idx="7">
                  <c:v>France</c:v>
                </c:pt>
                <c:pt idx="8">
                  <c:v>Lithuania</c:v>
                </c:pt>
                <c:pt idx="9">
                  <c:v>Bulgaria</c:v>
                </c:pt>
                <c:pt idx="10">
                  <c:v>Croatia</c:v>
                </c:pt>
                <c:pt idx="11">
                  <c:v>United Kingdom</c:v>
                </c:pt>
                <c:pt idx="12">
                  <c:v>Czech </c:v>
                </c:pt>
                <c:pt idx="13">
                  <c:v>Romania</c:v>
                </c:pt>
                <c:pt idx="14">
                  <c:v>Italy</c:v>
                </c:pt>
                <c:pt idx="15">
                  <c:v>Netherlands</c:v>
                </c:pt>
                <c:pt idx="16">
                  <c:v>Poland</c:v>
                </c:pt>
                <c:pt idx="17">
                  <c:v>EU27 Average</c:v>
                </c:pt>
                <c:pt idx="18">
                  <c:v>Austria</c:v>
                </c:pt>
                <c:pt idx="19">
                  <c:v>Ukraine (2016)</c:v>
                </c:pt>
                <c:pt idx="20">
                  <c:v>Finland</c:v>
                </c:pt>
                <c:pt idx="21">
                  <c:v>Germany*</c:v>
                </c:pt>
                <c:pt idx="22">
                  <c:v>Belgium*</c:v>
                </c:pt>
                <c:pt idx="23">
                  <c:v>Sweden</c:v>
                </c:pt>
                <c:pt idx="24">
                  <c:v>Spain*</c:v>
                </c:pt>
                <c:pt idx="25">
                  <c:v>Switzerland*</c:v>
                </c:pt>
                <c:pt idx="26">
                  <c:v>Denmark</c:v>
                </c:pt>
              </c:strCache>
            </c:strRef>
          </c:cat>
          <c:val>
            <c:numRef>
              <c:f>chart1!$C$2:$C$28</c:f>
              <c:numCache>
                <c:formatCode>#,##0.0</c:formatCode>
                <c:ptCount val="27"/>
                <c:pt idx="0">
                  <c:v>3.7</c:v>
                </c:pt>
                <c:pt idx="1">
                  <c:v>2.5</c:v>
                </c:pt>
                <c:pt idx="2">
                  <c:v>5.9</c:v>
                </c:pt>
                <c:pt idx="3">
                  <c:v>6.4</c:v>
                </c:pt>
                <c:pt idx="4">
                  <c:v>8.1</c:v>
                </c:pt>
                <c:pt idx="5">
                  <c:v>7.6</c:v>
                </c:pt>
                <c:pt idx="6">
                  <c:v>9.5</c:v>
                </c:pt>
                <c:pt idx="7">
                  <c:v>11.5</c:v>
                </c:pt>
                <c:pt idx="8">
                  <c:v>8.1999999999999993</c:v>
                </c:pt>
                <c:pt idx="9">
                  <c:v>9.5</c:v>
                </c:pt>
                <c:pt idx="10">
                  <c:v>12</c:v>
                </c:pt>
                <c:pt idx="11">
                  <c:v>10.6</c:v>
                </c:pt>
                <c:pt idx="12">
                  <c:v>12</c:v>
                </c:pt>
                <c:pt idx="13">
                  <c:v>10.4</c:v>
                </c:pt>
                <c:pt idx="14">
                  <c:v>14.8</c:v>
                </c:pt>
                <c:pt idx="15">
                  <c:v>14.1</c:v>
                </c:pt>
                <c:pt idx="16">
                  <c:v>12.8</c:v>
                </c:pt>
                <c:pt idx="17">
                  <c:v>15.6</c:v>
                </c:pt>
                <c:pt idx="18">
                  <c:v>17.899999999999999</c:v>
                </c:pt>
                <c:pt idx="19" formatCode="General">
                  <c:v>14.7</c:v>
                </c:pt>
                <c:pt idx="20">
                  <c:v>22.3</c:v>
                </c:pt>
                <c:pt idx="21">
                  <c:v>21.1</c:v>
                </c:pt>
                <c:pt idx="22">
                  <c:v>25.2</c:v>
                </c:pt>
                <c:pt idx="23">
                  <c:v>24.8</c:v>
                </c:pt>
                <c:pt idx="24">
                  <c:v>20.7</c:v>
                </c:pt>
                <c:pt idx="25">
                  <c:v>21.2</c:v>
                </c:pt>
                <c:pt idx="26">
                  <c:v>35.200000000000003</c:v>
                </c:pt>
              </c:numCache>
            </c:numRef>
          </c:val>
        </c:ser>
        <c:dLbls>
          <c:showLegendKey val="0"/>
          <c:showVal val="0"/>
          <c:showCatName val="0"/>
          <c:showSerName val="0"/>
          <c:showPercent val="0"/>
          <c:showBubbleSize val="0"/>
        </c:dLbls>
        <c:gapWidth val="175"/>
        <c:axId val="277205624"/>
        <c:axId val="505443512"/>
      </c:barChart>
      <c:lineChart>
        <c:grouping val="stacked"/>
        <c:varyColors val="0"/>
        <c:ser>
          <c:idx val="2"/>
          <c:order val="2"/>
          <c:tx>
            <c:strRef>
              <c:f>chart1!$D$1</c:f>
              <c:strCache>
                <c:ptCount val="1"/>
                <c:pt idx="0">
                  <c:v>Subnational Revenue as % of Total Public Revenue</c:v>
                </c:pt>
              </c:strCache>
            </c:strRef>
          </c:tx>
          <c:spPr>
            <a:ln w="28575" cap="rnd">
              <a:solidFill>
                <a:schemeClr val="tx1"/>
              </a:solidFill>
              <a:prstDash val="sysDot"/>
              <a:round/>
            </a:ln>
            <a:effectLst/>
          </c:spPr>
          <c:marker>
            <c:symbol val="none"/>
          </c:marker>
          <c:dLbls>
            <c:dLbl>
              <c:idx val="0"/>
              <c:layout>
                <c:manualLayout>
                  <c:x val="-2.1268368136117557E-2"/>
                  <c:y val="-3.8440417353102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1268368136117575E-2"/>
                  <c:y val="-3.8440417353102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5135344160866203E-2"/>
                  <c:y val="-3.2948929159802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1268368136117575E-2"/>
                  <c:y val="-3.8440417353102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5135344160866237E-2"/>
                  <c:y val="-3.294892915980235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2.5135344160866203E-2"/>
                  <c:y val="-2.19659527732015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3201856148491913E-2"/>
                  <c:y val="-2.19659527732015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2.3201856148491913E-2"/>
                  <c:y val="-3.8440417353102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7401392111368909E-2"/>
                  <c:y val="-3.2948929159802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1.7401392111368909E-2"/>
                  <c:y val="-2.74574409665019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5135344160866272E-2"/>
                  <c:y val="-2.745744096650192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2.3201856148491951E-2"/>
                  <c:y val="-3.2948929159802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1.9334880123743303E-2"/>
                  <c:y val="-3.84404173531027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2.1268368136117557E-2"/>
                  <c:y val="-1.647446457990115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2.3201856148491878E-2"/>
                  <c:y val="-2.19659527732015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2.5135344160866203E-2"/>
                  <c:y val="-1.647446457990117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2.9002320185614921E-2"/>
                  <c:y val="-3.29489291598023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7"/>
              <c:layout>
                <c:manualLayout>
                  <c:x val="-1.9334880123743233E-2"/>
                  <c:y val="-3.29489291598023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layout>
                <c:manualLayout>
                  <c:x val="-2.1268368136117557E-2"/>
                  <c:y val="-3.2948929159802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9"/>
              <c:layout>
                <c:manualLayout>
                  <c:x val="-2.1268368136117696E-2"/>
                  <c:y val="-3.29489291598023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0"/>
              <c:layout>
                <c:manualLayout>
                  <c:x val="-2.7068832173240527E-2"/>
                  <c:y val="-3.844041735310271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1"/>
              <c:layout>
                <c:manualLayout>
                  <c:x val="-3.0935808197989315E-2"/>
                  <c:y val="-3.2948929159802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3.0935808197989315E-2"/>
                  <c:y val="-4.78464493614275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3"/>
              <c:layout>
                <c:manualLayout>
                  <c:x val="-2.7068832173240527E-2"/>
                  <c:y val="-4.216484112670271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4"/>
              <c:layout>
                <c:manualLayout>
                  <c:x val="-2.5135344160866203E-2"/>
                  <c:y val="-2.92244754321911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5"/>
              <c:layout>
                <c:manualLayout>
                  <c:x val="-3.0935808197989172E-2"/>
                  <c:y val="-2.196595277320154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6"/>
              <c:layout>
                <c:manualLayout>
                  <c:x val="-1.1600928074245939E-2"/>
                  <c:y val="-3.2948870218038391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chart1!$A$2:$A$28</c:f>
              <c:strCache>
                <c:ptCount val="27"/>
                <c:pt idx="0">
                  <c:v>Greece</c:v>
                </c:pt>
                <c:pt idx="1">
                  <c:v>Ireland</c:v>
                </c:pt>
                <c:pt idx="2">
                  <c:v>Serbia</c:v>
                </c:pt>
                <c:pt idx="3">
                  <c:v>Portugal</c:v>
                </c:pt>
                <c:pt idx="4">
                  <c:v>Hungary</c:v>
                </c:pt>
                <c:pt idx="5">
                  <c:v>Slovakia</c:v>
                </c:pt>
                <c:pt idx="6">
                  <c:v>Croatia</c:v>
                </c:pt>
                <c:pt idx="7">
                  <c:v>France</c:v>
                </c:pt>
                <c:pt idx="8">
                  <c:v>Lithuania</c:v>
                </c:pt>
                <c:pt idx="9">
                  <c:v>Bulgaria</c:v>
                </c:pt>
                <c:pt idx="10">
                  <c:v>Croatia</c:v>
                </c:pt>
                <c:pt idx="11">
                  <c:v>United Kingdom</c:v>
                </c:pt>
                <c:pt idx="12">
                  <c:v>Czech </c:v>
                </c:pt>
                <c:pt idx="13">
                  <c:v>Romania</c:v>
                </c:pt>
                <c:pt idx="14">
                  <c:v>Italy</c:v>
                </c:pt>
                <c:pt idx="15">
                  <c:v>Netherlands</c:v>
                </c:pt>
                <c:pt idx="16">
                  <c:v>Poland</c:v>
                </c:pt>
                <c:pt idx="17">
                  <c:v>EU27 Average</c:v>
                </c:pt>
                <c:pt idx="18">
                  <c:v>Austria</c:v>
                </c:pt>
                <c:pt idx="19">
                  <c:v>Ukraine (2016)</c:v>
                </c:pt>
                <c:pt idx="20">
                  <c:v>Finland</c:v>
                </c:pt>
                <c:pt idx="21">
                  <c:v>Germany*</c:v>
                </c:pt>
                <c:pt idx="22">
                  <c:v>Belgium*</c:v>
                </c:pt>
                <c:pt idx="23">
                  <c:v>Sweden</c:v>
                </c:pt>
                <c:pt idx="24">
                  <c:v>Spain*</c:v>
                </c:pt>
                <c:pt idx="25">
                  <c:v>Switzerland*</c:v>
                </c:pt>
                <c:pt idx="26">
                  <c:v>Denmark</c:v>
                </c:pt>
              </c:strCache>
            </c:strRef>
          </c:cat>
          <c:val>
            <c:numRef>
              <c:f>chart1!$D$2:$D$28</c:f>
              <c:numCache>
                <c:formatCode>_(* #,##0.0_);_(* \(#,##0.0\);_(* "-"??_);_(@_)</c:formatCode>
                <c:ptCount val="27"/>
                <c:pt idx="0">
                  <c:v>7.7244258872651361</c:v>
                </c:pt>
                <c:pt idx="1">
                  <c:v>9.0579710144927539</c:v>
                </c:pt>
                <c:pt idx="2">
                  <c:v>14.081145584725538</c:v>
                </c:pt>
                <c:pt idx="3">
                  <c:v>14.545454545454547</c:v>
                </c:pt>
                <c:pt idx="4">
                  <c:v>16.701030927835049</c:v>
                </c:pt>
                <c:pt idx="5">
                  <c:v>17.715617715617714</c:v>
                </c:pt>
                <c:pt idx="6">
                  <c:v>21.111111111111111</c:v>
                </c:pt>
                <c:pt idx="7">
                  <c:v>21.495327102803738</c:v>
                </c:pt>
                <c:pt idx="8">
                  <c:v>23.49570200573066</c:v>
                </c:pt>
                <c:pt idx="9">
                  <c:v>24.358974358974358</c:v>
                </c:pt>
                <c:pt idx="10">
                  <c:v>27.522935779816514</c:v>
                </c:pt>
                <c:pt idx="11">
                  <c:v>27.532467532467532</c:v>
                </c:pt>
                <c:pt idx="12">
                  <c:v>29.05569007263923</c:v>
                </c:pt>
                <c:pt idx="13">
                  <c:v>29.799426934097422</c:v>
                </c:pt>
                <c:pt idx="14">
                  <c:v>30.962343096234314</c:v>
                </c:pt>
                <c:pt idx="15">
                  <c:v>32.638888888888886</c:v>
                </c:pt>
                <c:pt idx="16">
                  <c:v>32.904884318766072</c:v>
                </c:pt>
                <c:pt idx="17">
                  <c:v>34.743875278396438</c:v>
                </c:pt>
                <c:pt idx="18">
                  <c:v>35.375494071146242</c:v>
                </c:pt>
                <c:pt idx="19">
                  <c:v>40</c:v>
                </c:pt>
                <c:pt idx="20">
                  <c:v>41.14391143911439</c:v>
                </c:pt>
                <c:pt idx="21">
                  <c:v>47.203579418344518</c:v>
                </c:pt>
                <c:pt idx="22">
                  <c:v>49.122807017543863</c:v>
                </c:pt>
                <c:pt idx="23">
                  <c:v>49.206349206349209</c:v>
                </c:pt>
                <c:pt idx="24">
                  <c:v>53.626943005181339</c:v>
                </c:pt>
                <c:pt idx="25">
                  <c:v>60.571428571428562</c:v>
                </c:pt>
                <c:pt idx="26">
                  <c:v>65.794392523364493</c:v>
                </c:pt>
              </c:numCache>
            </c:numRef>
          </c:val>
          <c:smooth val="0"/>
        </c:ser>
        <c:dLbls>
          <c:showLegendKey val="0"/>
          <c:showVal val="0"/>
          <c:showCatName val="0"/>
          <c:showSerName val="0"/>
          <c:showPercent val="0"/>
          <c:showBubbleSize val="0"/>
        </c:dLbls>
        <c:marker val="1"/>
        <c:smooth val="0"/>
        <c:axId val="277205624"/>
        <c:axId val="505443512"/>
      </c:lineChart>
      <c:catAx>
        <c:axId val="277205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443512"/>
        <c:crosses val="autoZero"/>
        <c:auto val="1"/>
        <c:lblAlgn val="ctr"/>
        <c:lblOffset val="100"/>
        <c:noMultiLvlLbl val="0"/>
      </c:catAx>
      <c:valAx>
        <c:axId val="505443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7205624"/>
        <c:crosses val="autoZero"/>
        <c:crossBetween val="between"/>
      </c:valAx>
      <c:spPr>
        <a:noFill/>
        <a:ln w="25400">
          <a:noFill/>
        </a:ln>
      </c:spPr>
    </c:plotArea>
    <c:legend>
      <c:legendPos val="b"/>
      <c:layout>
        <c:manualLayout>
          <c:xMode val="edge"/>
          <c:yMode val="edge"/>
          <c:x val="1.215155797832964E-2"/>
          <c:y val="0.80306438967856286"/>
          <c:w val="0.95646594656437178"/>
          <c:h val="0.170949994887002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83046116858213"/>
          <c:y val="6.5110478211500164E-2"/>
          <c:w val="0.86532167829259066"/>
          <c:h val="0.56481262758821815"/>
        </c:manualLayout>
      </c:layout>
      <c:barChart>
        <c:barDir val="col"/>
        <c:grouping val="clustered"/>
        <c:varyColors val="0"/>
        <c:ser>
          <c:idx val="1"/>
          <c:order val="1"/>
          <c:tx>
            <c:strRef>
              <c:f>figure2!$A$4</c:f>
              <c:strCache>
                <c:ptCount val="1"/>
                <c:pt idx="0">
                  <c:v>Consolidated Revenue of the General Government as % of GDP</c:v>
                </c:pt>
              </c:strCache>
            </c:strRef>
          </c:tx>
          <c:spPr>
            <a:solidFill>
              <a:srgbClr val="00B0F0"/>
            </a:solidFill>
            <a:ln>
              <a:noFill/>
            </a:ln>
            <a:effectLst/>
          </c:spPr>
          <c:invertIfNegative val="0"/>
          <c:dLbls>
            <c:dLbl>
              <c:idx val="0"/>
              <c:layout>
                <c:manualLayout>
                  <c:x val="-2.0847306740446655E-17"/>
                  <c:y val="0.184397163120567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3B7-4937-83FC-E2305197A38A}"/>
                </c:ext>
                <c:ext xmlns:c15="http://schemas.microsoft.com/office/drawing/2012/chart" uri="{CE6537A1-D6FC-4f65-9D91-7224C49458BB}"/>
              </c:extLst>
            </c:dLbl>
            <c:dLbl>
              <c:idx val="1"/>
              <c:layout>
                <c:manualLayout>
                  <c:x val="-4.169461348089331E-17"/>
                  <c:y val="0.1560283687943262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3B7-4937-83FC-E2305197A38A}"/>
                </c:ext>
                <c:ext xmlns:c15="http://schemas.microsoft.com/office/drawing/2012/chart" uri="{CE6537A1-D6FC-4f65-9D91-7224C49458BB}"/>
              </c:extLst>
            </c:dLbl>
            <c:dLbl>
              <c:idx val="2"/>
              <c:layout>
                <c:manualLayout>
                  <c:x val="-8.338922696178662E-17"/>
                  <c:y val="0.1371158392434988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3B7-4937-83FC-E2305197A38A}"/>
                </c:ext>
                <c:ext xmlns:c15="http://schemas.microsoft.com/office/drawing/2012/chart" uri="{CE6537A1-D6FC-4f65-9D91-7224C49458BB}"/>
              </c:extLst>
            </c:dLbl>
            <c:dLbl>
              <c:idx val="3"/>
              <c:layout>
                <c:manualLayout>
                  <c:x val="0"/>
                  <c:y val="0.14657210401891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3B7-4937-83FC-E2305197A38A}"/>
                </c:ext>
                <c:ext xmlns:c15="http://schemas.microsoft.com/office/drawing/2012/chart" uri="{CE6537A1-D6FC-4f65-9D91-7224C49458BB}"/>
              </c:extLst>
            </c:dLbl>
            <c:dLbl>
              <c:idx val="4"/>
              <c:layout>
                <c:manualLayout>
                  <c:x val="0"/>
                  <c:y val="0.1040189125295508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3B7-4937-83FC-E2305197A38A}"/>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figure2!$B$2:$F$2</c:f>
              <c:numCache>
                <c:formatCode>General</c:formatCode>
                <c:ptCount val="5"/>
                <c:pt idx="0">
                  <c:v>2012</c:v>
                </c:pt>
                <c:pt idx="1">
                  <c:v>2013</c:v>
                </c:pt>
                <c:pt idx="2">
                  <c:v>2014</c:v>
                </c:pt>
                <c:pt idx="3">
                  <c:v>2015</c:v>
                </c:pt>
                <c:pt idx="4">
                  <c:v>2016</c:v>
                </c:pt>
              </c:numCache>
            </c:numRef>
          </c:cat>
          <c:val>
            <c:numRef>
              <c:f>figure2!$B$4:$F$4</c:f>
              <c:numCache>
                <c:formatCode>0.0%</c:formatCode>
                <c:ptCount val="5"/>
                <c:pt idx="0">
                  <c:v>0.4300205620287868</c:v>
                </c:pt>
                <c:pt idx="1">
                  <c:v>0.43331058020477814</c:v>
                </c:pt>
                <c:pt idx="2">
                  <c:v>0.40307750472589793</c:v>
                </c:pt>
                <c:pt idx="3">
                  <c:v>0.41873303167420817</c:v>
                </c:pt>
                <c:pt idx="4">
                  <c:v>0.36877141645462258</c:v>
                </c:pt>
              </c:numCache>
            </c:numRef>
          </c:val>
          <c:extLst xmlns:c16r2="http://schemas.microsoft.com/office/drawing/2015/06/chart">
            <c:ext xmlns:c16="http://schemas.microsoft.com/office/drawing/2014/chart" uri="{C3380CC4-5D6E-409C-BE32-E72D297353CC}">
              <c16:uniqueId val="{00000005-53B7-4937-83FC-E2305197A38A}"/>
            </c:ext>
          </c:extLst>
        </c:ser>
        <c:ser>
          <c:idx val="2"/>
          <c:order val="2"/>
          <c:tx>
            <c:strRef>
              <c:f>figure2!$A$5</c:f>
              <c:strCache>
                <c:ptCount val="1"/>
                <c:pt idx="0">
                  <c:v>Local Government Revenue as % of GDP</c:v>
                </c:pt>
              </c:strCache>
            </c:strRef>
          </c:tx>
          <c:spPr>
            <a:solidFill>
              <a:srgbClr val="FFFF0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figure2!$B$2:$F$2</c:f>
              <c:numCache>
                <c:formatCode>General</c:formatCode>
                <c:ptCount val="5"/>
                <c:pt idx="0">
                  <c:v>2012</c:v>
                </c:pt>
                <c:pt idx="1">
                  <c:v>2013</c:v>
                </c:pt>
                <c:pt idx="2">
                  <c:v>2014</c:v>
                </c:pt>
                <c:pt idx="3">
                  <c:v>2015</c:v>
                </c:pt>
                <c:pt idx="4">
                  <c:v>2016</c:v>
                </c:pt>
              </c:numCache>
            </c:numRef>
          </c:cat>
          <c:val>
            <c:numRef>
              <c:f>figure2!$B$5:$F$5</c:f>
              <c:numCache>
                <c:formatCode>0.0%</c:formatCode>
                <c:ptCount val="5"/>
                <c:pt idx="0">
                  <c:v>0.15255332419465387</c:v>
                </c:pt>
                <c:pt idx="1">
                  <c:v>0.15006484641638226</c:v>
                </c:pt>
                <c:pt idx="2">
                  <c:v>0.1401257305306112</c:v>
                </c:pt>
                <c:pt idx="3">
                  <c:v>0.13995830192480643</c:v>
                </c:pt>
                <c:pt idx="4">
                  <c:v>0.14749389393647586</c:v>
                </c:pt>
              </c:numCache>
            </c:numRef>
          </c:val>
          <c:extLst xmlns:c16r2="http://schemas.microsoft.com/office/drawing/2015/06/chart">
            <c:ext xmlns:c16="http://schemas.microsoft.com/office/drawing/2014/chart" uri="{C3380CC4-5D6E-409C-BE32-E72D297353CC}">
              <c16:uniqueId val="{00000006-53B7-4937-83FC-E2305197A38A}"/>
            </c:ext>
          </c:extLst>
        </c:ser>
        <c:dLbls>
          <c:showLegendKey val="0"/>
          <c:showVal val="0"/>
          <c:showCatName val="0"/>
          <c:showSerName val="0"/>
          <c:showPercent val="0"/>
          <c:showBubbleSize val="0"/>
        </c:dLbls>
        <c:gapWidth val="175"/>
        <c:axId val="505444296"/>
        <c:axId val="505444688"/>
      </c:barChart>
      <c:lineChart>
        <c:grouping val="standard"/>
        <c:varyColors val="0"/>
        <c:ser>
          <c:idx val="0"/>
          <c:order val="0"/>
          <c:tx>
            <c:strRef>
              <c:f>figure2!$A$3</c:f>
              <c:strCache>
                <c:ptCount val="1"/>
                <c:pt idx="0">
                  <c:v>Real GDP Growth/Decline (IMF)</c:v>
                </c:pt>
              </c:strCache>
            </c:strRef>
          </c:tx>
          <c:spPr>
            <a:ln w="28575" cap="rnd">
              <a:solidFill>
                <a:srgbClr val="FF0000"/>
              </a:solidFill>
              <a:prstDash val="sysDash"/>
              <a:round/>
            </a:ln>
            <a:effectLst/>
          </c:spPr>
          <c:marker>
            <c:symbol val="none"/>
          </c:marker>
          <c:cat>
            <c:numRef>
              <c:f>figure2!$B$2:$F$2</c:f>
              <c:numCache>
                <c:formatCode>General</c:formatCode>
                <c:ptCount val="5"/>
                <c:pt idx="0">
                  <c:v>2012</c:v>
                </c:pt>
                <c:pt idx="1">
                  <c:v>2013</c:v>
                </c:pt>
                <c:pt idx="2">
                  <c:v>2014</c:v>
                </c:pt>
                <c:pt idx="3">
                  <c:v>2015</c:v>
                </c:pt>
                <c:pt idx="4">
                  <c:v>2016</c:v>
                </c:pt>
              </c:numCache>
            </c:numRef>
          </c:cat>
          <c:val>
            <c:numRef>
              <c:f>figure2!$B$3:$F$3</c:f>
              <c:numCache>
                <c:formatCode>0%</c:formatCode>
                <c:ptCount val="5"/>
                <c:pt idx="0" formatCode="0.00%">
                  <c:v>2E-3</c:v>
                </c:pt>
                <c:pt idx="1">
                  <c:v>0</c:v>
                </c:pt>
                <c:pt idx="2" formatCode="0.00%">
                  <c:v>-6.6000000000000003E-2</c:v>
                </c:pt>
                <c:pt idx="3" formatCode="0.00%">
                  <c:v>-9.9000000000000005E-2</c:v>
                </c:pt>
                <c:pt idx="4" formatCode="0.00%">
                  <c:v>1.4999999999999999E-2</c:v>
                </c:pt>
              </c:numCache>
            </c:numRef>
          </c:val>
          <c:smooth val="0"/>
          <c:extLst xmlns:c16r2="http://schemas.microsoft.com/office/drawing/2015/06/chart">
            <c:ext xmlns:c16="http://schemas.microsoft.com/office/drawing/2014/chart" uri="{C3380CC4-5D6E-409C-BE32-E72D297353CC}">
              <c16:uniqueId val="{00000007-53B7-4937-83FC-E2305197A38A}"/>
            </c:ext>
          </c:extLst>
        </c:ser>
        <c:ser>
          <c:idx val="3"/>
          <c:order val="3"/>
          <c:tx>
            <c:strRef>
              <c:f>figure2!$A$6</c:f>
              <c:strCache>
                <c:ptCount val="1"/>
                <c:pt idx="0">
                  <c:v>Local Government Revenue as % of General Government Revenue</c:v>
                </c:pt>
              </c:strCache>
            </c:strRef>
          </c:tx>
          <c:spPr>
            <a:ln w="28575" cap="rnd">
              <a:solidFill>
                <a:sysClr val="windowText" lastClr="000000"/>
              </a:solidFill>
              <a:prstDash val="sysDot"/>
              <a:round/>
            </a:ln>
            <a:effectLst/>
          </c:spPr>
          <c:marker>
            <c:symbol val="none"/>
          </c:marker>
          <c:dLbls>
            <c:dLbl>
              <c:idx val="0"/>
              <c:layout>
                <c:manualLayout>
                  <c:x val="-9.7800576269790246E-2"/>
                  <c:y val="-4.62947450717596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3B7-4937-83FC-E2305197A38A}"/>
                </c:ext>
                <c:ext xmlns:c15="http://schemas.microsoft.com/office/drawing/2012/chart" uri="{CE6537A1-D6FC-4f65-9D91-7224C49458BB}"/>
              </c:extLst>
            </c:dLbl>
            <c:dLbl>
              <c:idx val="1"/>
              <c:layout>
                <c:manualLayout>
                  <c:x val="-2.6413100898045432E-3"/>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3B7-4937-83FC-E2305197A38A}"/>
                </c:ext>
                <c:ext xmlns:c15="http://schemas.microsoft.com/office/drawing/2012/chart" uri="{CE6537A1-D6FC-4f65-9D91-7224C49458BB}"/>
              </c:extLst>
            </c:dLbl>
            <c:dLbl>
              <c:idx val="2"/>
              <c:layout>
                <c:manualLayout>
                  <c:x val="-8.338922696178662E-17"/>
                  <c:y val="-3.2703039779602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3B7-4937-83FC-E2305197A38A}"/>
                </c:ext>
                <c:ext xmlns:c15="http://schemas.microsoft.com/office/drawing/2012/chart" uri="{CE6537A1-D6FC-4f65-9D91-7224C49458BB}"/>
              </c:extLst>
            </c:dLbl>
            <c:dLbl>
              <c:idx val="3"/>
              <c:layout>
                <c:manualLayout>
                  <c:x val="2.2742779167614284E-3"/>
                  <c:y val="-4.66901211816607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3B7-4937-83FC-E2305197A38A}"/>
                </c:ext>
                <c:ext xmlns:c15="http://schemas.microsoft.com/office/drawing/2012/chart" uri="{CE6537A1-D6FC-4f65-9D91-7224C49458BB}"/>
              </c:extLst>
            </c:dLbl>
            <c:dLbl>
              <c:idx val="4"/>
              <c:layout>
                <c:manualLayout>
                  <c:x val="-9.0971116670457135E-3"/>
                  <c:y val="-9.456264775413733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3B7-4937-83FC-E2305197A38A}"/>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figure2!$B$2:$F$2</c:f>
              <c:numCache>
                <c:formatCode>General</c:formatCode>
                <c:ptCount val="5"/>
                <c:pt idx="0">
                  <c:v>2012</c:v>
                </c:pt>
                <c:pt idx="1">
                  <c:v>2013</c:v>
                </c:pt>
                <c:pt idx="2">
                  <c:v>2014</c:v>
                </c:pt>
                <c:pt idx="3">
                  <c:v>2015</c:v>
                </c:pt>
                <c:pt idx="4">
                  <c:v>2016</c:v>
                </c:pt>
              </c:numCache>
            </c:numRef>
          </c:cat>
          <c:val>
            <c:numRef>
              <c:f>figure2!$B$6:$F$6</c:f>
              <c:numCache>
                <c:formatCode>0.0%</c:formatCode>
                <c:ptCount val="5"/>
                <c:pt idx="0">
                  <c:v>0.35905881415365004</c:v>
                </c:pt>
                <c:pt idx="1">
                  <c:v>0.34817170762444866</c:v>
                </c:pt>
                <c:pt idx="2">
                  <c:v>0.34284671105370779</c:v>
                </c:pt>
                <c:pt idx="3">
                  <c:v>0.35139144311527754</c:v>
                </c:pt>
                <c:pt idx="4">
                  <c:v>0.41768642735947825</c:v>
                </c:pt>
              </c:numCache>
            </c:numRef>
          </c:val>
          <c:smooth val="0"/>
          <c:extLst xmlns:c16r2="http://schemas.microsoft.com/office/drawing/2015/06/chart">
            <c:ext xmlns:c16="http://schemas.microsoft.com/office/drawing/2014/chart" uri="{C3380CC4-5D6E-409C-BE32-E72D297353CC}">
              <c16:uniqueId val="{0000000D-53B7-4937-83FC-E2305197A38A}"/>
            </c:ext>
          </c:extLst>
        </c:ser>
        <c:dLbls>
          <c:showLegendKey val="0"/>
          <c:showVal val="0"/>
          <c:showCatName val="0"/>
          <c:showSerName val="0"/>
          <c:showPercent val="0"/>
          <c:showBubbleSize val="0"/>
        </c:dLbls>
        <c:marker val="1"/>
        <c:smooth val="0"/>
        <c:axId val="505444296"/>
        <c:axId val="505444688"/>
      </c:lineChart>
      <c:catAx>
        <c:axId val="50544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444688"/>
        <c:crosses val="autoZero"/>
        <c:auto val="1"/>
        <c:lblAlgn val="ctr"/>
        <c:lblOffset val="100"/>
        <c:noMultiLvlLbl val="0"/>
      </c:catAx>
      <c:valAx>
        <c:axId val="505444688"/>
        <c:scaling>
          <c:orientation val="minMax"/>
          <c:max val="0.60000000000000009"/>
          <c:min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444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920384951881E-2"/>
          <c:y val="5.0925925925925923E-2"/>
          <c:w val="0.89019685039370078"/>
          <c:h val="0.73577136191309422"/>
        </c:manualLayout>
      </c:layout>
      <c:lineChart>
        <c:grouping val="standard"/>
        <c:varyColors val="0"/>
        <c:ser>
          <c:idx val="0"/>
          <c:order val="0"/>
          <c:tx>
            <c:strRef>
              <c:f>'[ChartsforTranslaterPolicyPaperMay2017.xlsx]Figure 3'!$A$6</c:f>
              <c:strCache>
                <c:ptCount val="1"/>
                <c:pt idx="0">
                  <c:v>nominal</c:v>
                </c:pt>
              </c:strCache>
            </c:strRef>
          </c:tx>
          <c:spPr>
            <a:ln w="28575" cap="rnd">
              <a:solidFill>
                <a:schemeClr val="accent1"/>
              </a:solidFill>
              <a:round/>
            </a:ln>
            <a:effectLst/>
          </c:spPr>
          <c:marker>
            <c:symbol val="none"/>
          </c:marker>
          <c:dLbls>
            <c:dLbl>
              <c:idx val="2"/>
              <c:layout>
                <c:manualLayout>
                  <c:x val="0"/>
                  <c:y val="5.905511811023622E-2"/>
                </c:manualLayout>
              </c:layout>
              <c:tx>
                <c:rich>
                  <a:bodyPr/>
                  <a:lstStyle/>
                  <a:p>
                    <a:r>
                      <a:rPr lang="en-US"/>
                      <a:t>353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 3'!$B$5:$D$5</c:f>
              <c:numCache>
                <c:formatCode>General</c:formatCode>
                <c:ptCount val="3"/>
                <c:pt idx="0">
                  <c:v>2014</c:v>
                </c:pt>
                <c:pt idx="1">
                  <c:v>2015</c:v>
                </c:pt>
                <c:pt idx="2">
                  <c:v>2016</c:v>
                </c:pt>
              </c:numCache>
            </c:numRef>
          </c:cat>
          <c:val>
            <c:numRef>
              <c:f>'[ChartsforTranslaterPolicyPaperMay2017.xlsx]Figure 3'!$B$6:$D$6</c:f>
              <c:numCache>
                <c:formatCode>#,##0</c:formatCode>
                <c:ptCount val="3"/>
                <c:pt idx="0">
                  <c:v>219.31355551367983</c:v>
                </c:pt>
                <c:pt idx="1">
                  <c:v>290.46269147336011</c:v>
                </c:pt>
                <c:pt idx="2">
                  <c:v>363.20466283398997</c:v>
                </c:pt>
              </c:numCache>
            </c:numRef>
          </c:val>
          <c:smooth val="0"/>
          <c:extLst xmlns:c16r2="http://schemas.microsoft.com/office/drawing/2015/06/chart">
            <c:ext xmlns:c16="http://schemas.microsoft.com/office/drawing/2014/chart" uri="{C3380CC4-5D6E-409C-BE32-E72D297353CC}">
              <c16:uniqueId val="{00000000-5142-40D5-861F-AB6D7FF7B666}"/>
            </c:ext>
          </c:extLst>
        </c:ser>
        <c:ser>
          <c:idx val="1"/>
          <c:order val="1"/>
          <c:tx>
            <c:strRef>
              <c:f>'[ChartsforTranslaterPolicyPaperMay2017.xlsx]Figure 3'!$A$7</c:f>
              <c:strCache>
                <c:ptCount val="1"/>
                <c:pt idx="0">
                  <c:v>inflation adjusted</c:v>
                </c:pt>
              </c:strCache>
            </c:strRef>
          </c:tx>
          <c:spPr>
            <a:ln w="28575" cap="rnd">
              <a:solidFill>
                <a:schemeClr val="accent2"/>
              </a:solidFill>
              <a:round/>
            </a:ln>
            <a:effectLst/>
          </c:spPr>
          <c:marker>
            <c:symbol val="none"/>
          </c:marker>
          <c:dLbls>
            <c:dLbl>
              <c:idx val="2"/>
              <c:layout>
                <c:manualLayout>
                  <c:x val="-4.3177042960303533E-3"/>
                  <c:y val="-8.5302095604191205E-2"/>
                </c:manualLayout>
              </c:layout>
              <c:showLegendKey val="0"/>
              <c:showVal val="1"/>
              <c:showCatName val="0"/>
              <c:showSerName val="0"/>
              <c:showPercent val="0"/>
              <c:showBubbleSize val="0"/>
              <c:extLst>
                <c:ext xmlns:c15="http://schemas.microsoft.com/office/drawing/2012/chart" uri="{CE6537A1-D6FC-4f65-9D91-7224C49458BB}">
                  <c15:layout>
                    <c:manualLayout>
                      <c:w val="4.2487046632124346E-2"/>
                      <c:h val="9.1765350197367049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 3'!$B$5:$D$5</c:f>
              <c:numCache>
                <c:formatCode>General</c:formatCode>
                <c:ptCount val="3"/>
                <c:pt idx="0">
                  <c:v>2014</c:v>
                </c:pt>
                <c:pt idx="1">
                  <c:v>2015</c:v>
                </c:pt>
                <c:pt idx="2">
                  <c:v>2016</c:v>
                </c:pt>
              </c:numCache>
            </c:numRef>
          </c:cat>
          <c:val>
            <c:numRef>
              <c:f>'[ChartsforTranslaterPolicyPaperMay2017.xlsx]Figure 3'!$B$7:$D$7</c:f>
              <c:numCache>
                <c:formatCode>#,##0</c:formatCode>
                <c:ptCount val="3"/>
                <c:pt idx="0">
                  <c:v>353.24658935744003</c:v>
                </c:pt>
                <c:pt idx="1">
                  <c:v>326.4800652160568</c:v>
                </c:pt>
                <c:pt idx="2">
                  <c:v>363.20466283398997</c:v>
                </c:pt>
              </c:numCache>
            </c:numRef>
          </c:val>
          <c:smooth val="0"/>
          <c:extLst xmlns:c16r2="http://schemas.microsoft.com/office/drawing/2015/06/chart">
            <c:ext xmlns:c16="http://schemas.microsoft.com/office/drawing/2014/chart" uri="{C3380CC4-5D6E-409C-BE32-E72D297353CC}">
              <c16:uniqueId val="{00000001-5142-40D5-861F-AB6D7FF7B666}"/>
            </c:ext>
          </c:extLst>
        </c:ser>
        <c:dLbls>
          <c:showLegendKey val="0"/>
          <c:showVal val="0"/>
          <c:showCatName val="0"/>
          <c:showSerName val="0"/>
          <c:showPercent val="0"/>
          <c:showBubbleSize val="0"/>
        </c:dLbls>
        <c:smooth val="0"/>
        <c:axId val="507247248"/>
        <c:axId val="507247640"/>
      </c:lineChart>
      <c:catAx>
        <c:axId val="50724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247640"/>
        <c:crosses val="autoZero"/>
        <c:auto val="1"/>
        <c:lblAlgn val="ctr"/>
        <c:lblOffset val="100"/>
        <c:noMultiLvlLbl val="0"/>
      </c:catAx>
      <c:valAx>
        <c:axId val="507247640"/>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24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4"/>
          <c:order val="0"/>
          <c:tx>
            <c:strRef>
              <c:f>'[ChartsforTranslaterPolicyPaperMay2017.xlsx]Figures4&amp;5'!$A$13</c:f>
              <c:strCache>
                <c:ptCount val="1"/>
                <c:pt idx="0">
                  <c:v>Oblasts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'[ChartsforTranslaterPolicyPaperMay2017.xlsx]Figures4&amp;5'!$B$8:$D$8</c:f>
              <c:numCache>
                <c:formatCode>General</c:formatCode>
                <c:ptCount val="3"/>
                <c:pt idx="0">
                  <c:v>2014</c:v>
                </c:pt>
                <c:pt idx="1">
                  <c:v>2015</c:v>
                </c:pt>
                <c:pt idx="2">
                  <c:v>2016</c:v>
                </c:pt>
              </c:numCache>
            </c:numRef>
          </c:cat>
          <c:val>
            <c:numRef>
              <c:f>'[ChartsforTranslaterPolicyPaperMay2017.xlsx]Figures4&amp;5'!$B$13:$D$13</c:f>
              <c:numCache>
                <c:formatCode>0.0</c:formatCode>
                <c:ptCount val="3"/>
                <c:pt idx="0">
                  <c:v>73.388859013000996</c:v>
                </c:pt>
                <c:pt idx="1">
                  <c:v>59.488764107659989</c:v>
                </c:pt>
                <c:pt idx="2">
                  <c:v>53.091008365769994</c:v>
                </c:pt>
              </c:numCache>
            </c:numRef>
          </c:val>
          <c:extLst xmlns:c16r2="http://schemas.microsoft.com/office/drawing/2015/06/chart">
            <c:ext xmlns:c16="http://schemas.microsoft.com/office/drawing/2014/chart" uri="{C3380CC4-5D6E-409C-BE32-E72D297353CC}">
              <c16:uniqueId val="{00000000-79FA-44B4-AD31-FCCD08E42B29}"/>
            </c:ext>
          </c:extLst>
        </c:ser>
        <c:ser>
          <c:idx val="2"/>
          <c:order val="1"/>
          <c:tx>
            <c:strRef>
              <c:f>'[ChartsforTranslaterPolicyPaperMay2017.xlsx]Figures4&amp;5'!$A$11</c:f>
              <c:strCache>
                <c:ptCount val="1"/>
                <c:pt idx="0">
                  <c:v>Rayons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'[ChartsforTranslaterPolicyPaperMay2017.xlsx]Figures4&amp;5'!$B$8:$D$8</c:f>
              <c:numCache>
                <c:formatCode>General</c:formatCode>
                <c:ptCount val="3"/>
                <c:pt idx="0">
                  <c:v>2014</c:v>
                </c:pt>
                <c:pt idx="1">
                  <c:v>2015</c:v>
                </c:pt>
                <c:pt idx="2">
                  <c:v>2016</c:v>
                </c:pt>
              </c:numCache>
            </c:numRef>
          </c:cat>
          <c:val>
            <c:numRef>
              <c:f>'[ChartsforTranslaterPolicyPaperMay2017.xlsx]Figures4&amp;5'!$B$11:$D$11</c:f>
              <c:numCache>
                <c:formatCode>0.0</c:formatCode>
                <c:ptCount val="3"/>
                <c:pt idx="0">
                  <c:v>110.30826845885792</c:v>
                </c:pt>
                <c:pt idx="1">
                  <c:v>101.96195158333747</c:v>
                </c:pt>
                <c:pt idx="2">
                  <c:v>111.57979431195</c:v>
                </c:pt>
              </c:numCache>
            </c:numRef>
          </c:val>
          <c:extLst xmlns:c16r2="http://schemas.microsoft.com/office/drawing/2015/06/chart">
            <c:ext xmlns:c16="http://schemas.microsoft.com/office/drawing/2014/chart" uri="{C3380CC4-5D6E-409C-BE32-E72D297353CC}">
              <c16:uniqueId val="{00000001-79FA-44B4-AD31-FCCD08E42B29}"/>
            </c:ext>
          </c:extLst>
        </c:ser>
        <c:ser>
          <c:idx val="3"/>
          <c:order val="2"/>
          <c:tx>
            <c:strRef>
              <c:f>'[ChartsforTranslaterPolicyPaperMay2017.xlsx]Figures4&amp;5'!$A$12</c:f>
              <c:strCache>
                <c:ptCount val="1"/>
                <c:pt idx="0">
                  <c:v>COS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'[ChartsforTranslaterPolicyPaperMay2017.xlsx]Figures4&amp;5'!$B$8:$D$8</c:f>
              <c:numCache>
                <c:formatCode>General</c:formatCode>
                <c:ptCount val="3"/>
                <c:pt idx="0">
                  <c:v>2014</c:v>
                </c:pt>
                <c:pt idx="1">
                  <c:v>2015</c:v>
                </c:pt>
                <c:pt idx="2">
                  <c:v>2016</c:v>
                </c:pt>
              </c:numCache>
            </c:numRef>
          </c:cat>
          <c:val>
            <c:numRef>
              <c:f>'[ChartsforTranslaterPolicyPaperMay2017.xlsx]Figures4&amp;5'!$B$12:$D$12</c:f>
              <c:numCache>
                <c:formatCode>0.0</c:formatCode>
                <c:ptCount val="3"/>
                <c:pt idx="0">
                  <c:v>150.24989966670043</c:v>
                </c:pt>
                <c:pt idx="1">
                  <c:v>148.39480098363481</c:v>
                </c:pt>
                <c:pt idx="2">
                  <c:v>170.57507694682999</c:v>
                </c:pt>
              </c:numCache>
            </c:numRef>
          </c:val>
          <c:extLst xmlns:c16r2="http://schemas.microsoft.com/office/drawing/2015/06/chart">
            <c:ext xmlns:c16="http://schemas.microsoft.com/office/drawing/2014/chart" uri="{C3380CC4-5D6E-409C-BE32-E72D297353CC}">
              <c16:uniqueId val="{00000002-79FA-44B4-AD31-FCCD08E42B29}"/>
            </c:ext>
          </c:extLst>
        </c:ser>
        <c:ser>
          <c:idx val="1"/>
          <c:order val="3"/>
          <c:tx>
            <c:strRef>
              <c:f>'[ChartsforTranslaterPolicyPaperMay2017.xlsx]Figures4&amp;5'!$A$10</c:f>
              <c:strCache>
                <c:ptCount val="1"/>
                <c:pt idx="0">
                  <c:v>Gromada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'[ChartsforTranslaterPolicyPaperMay2017.xlsx]Figures4&amp;5'!$B$8:$D$8</c:f>
              <c:numCache>
                <c:formatCode>General</c:formatCode>
                <c:ptCount val="3"/>
                <c:pt idx="0">
                  <c:v>2014</c:v>
                </c:pt>
                <c:pt idx="1">
                  <c:v>2015</c:v>
                </c:pt>
                <c:pt idx="2">
                  <c:v>2016</c:v>
                </c:pt>
              </c:numCache>
            </c:numRef>
          </c:cat>
          <c:val>
            <c:numRef>
              <c:f>'[ChartsforTranslaterPolicyPaperMay2017.xlsx]Figures4&amp;5'!$B$10:$D$10</c:f>
              <c:numCache>
                <c:formatCode>0.0</c:formatCode>
                <c:ptCount val="3"/>
                <c:pt idx="0">
                  <c:v>19.147797238465579</c:v>
                </c:pt>
                <c:pt idx="1">
                  <c:v>16.634548541424486</c:v>
                </c:pt>
                <c:pt idx="2">
                  <c:v>20.902574797069999</c:v>
                </c:pt>
              </c:numCache>
            </c:numRef>
          </c:val>
          <c:extLst xmlns:c16r2="http://schemas.microsoft.com/office/drawing/2015/06/chart">
            <c:ext xmlns:c16="http://schemas.microsoft.com/office/drawing/2014/chart" uri="{C3380CC4-5D6E-409C-BE32-E72D297353CC}">
              <c16:uniqueId val="{00000003-79FA-44B4-AD31-FCCD08E42B29}"/>
            </c:ext>
          </c:extLst>
        </c:ser>
        <c:ser>
          <c:idx val="0"/>
          <c:order val="4"/>
          <c:tx>
            <c:strRef>
              <c:f>'[ChartsforTranslaterPolicyPaperMay2017.xlsx]Figures4&amp;5'!$A$9</c:f>
              <c:strCache>
                <c:ptCount val="1"/>
                <c:pt idx="0">
                  <c:v>AG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'[ChartsforTranslaterPolicyPaperMay2017.xlsx]Figures4&amp;5'!$B$8:$D$8</c:f>
              <c:numCache>
                <c:formatCode>General</c:formatCode>
                <c:ptCount val="3"/>
                <c:pt idx="0">
                  <c:v>2014</c:v>
                </c:pt>
                <c:pt idx="1">
                  <c:v>2015</c:v>
                </c:pt>
                <c:pt idx="2">
                  <c:v>2016</c:v>
                </c:pt>
              </c:numCache>
            </c:numRef>
          </c:cat>
          <c:val>
            <c:numRef>
              <c:f>'[ChartsforTranslaterPolicyPaperMay2017.xlsx]Figures4&amp;5'!$B$9:$D$9</c:f>
              <c:numCache>
                <c:formatCode>General</c:formatCode>
                <c:ptCount val="3"/>
                <c:pt idx="2" formatCode="0.0">
                  <c:v>7.056208412370002</c:v>
                </c:pt>
              </c:numCache>
            </c:numRef>
          </c:val>
          <c:extLst xmlns:c16r2="http://schemas.microsoft.com/office/drawing/2015/06/chart">
            <c:ext xmlns:c16="http://schemas.microsoft.com/office/drawing/2014/chart" uri="{C3380CC4-5D6E-409C-BE32-E72D297353CC}">
              <c16:uniqueId val="{00000004-79FA-44B4-AD31-FCCD08E42B29}"/>
            </c:ext>
          </c:extLst>
        </c:ser>
        <c:dLbls>
          <c:showLegendKey val="0"/>
          <c:showVal val="0"/>
          <c:showCatName val="0"/>
          <c:showSerName val="0"/>
          <c:showPercent val="0"/>
          <c:showBubbleSize val="0"/>
        </c:dLbls>
        <c:gapWidth val="150"/>
        <c:overlap val="100"/>
        <c:axId val="507248424"/>
        <c:axId val="507248816"/>
      </c:barChart>
      <c:catAx>
        <c:axId val="507248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248816"/>
        <c:crosses val="autoZero"/>
        <c:auto val="1"/>
        <c:lblAlgn val="ctr"/>
        <c:lblOffset val="100"/>
        <c:noMultiLvlLbl val="0"/>
      </c:catAx>
      <c:valAx>
        <c:axId val="507248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248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50481189851271E-2"/>
          <c:y val="4.6296296296296294E-2"/>
          <c:w val="0.87129396325459318"/>
          <c:h val="0.67614396005377375"/>
        </c:manualLayout>
      </c:layout>
      <c:barChart>
        <c:barDir val="col"/>
        <c:grouping val="stacked"/>
        <c:varyColors val="0"/>
        <c:ser>
          <c:idx val="1"/>
          <c:order val="0"/>
          <c:tx>
            <c:strRef>
              <c:f>[ChartsforTranslaterPolicyPaperMay2017.xlsx]Figure6!$H$14</c:f>
              <c:strCache>
                <c:ptCount val="1"/>
                <c:pt idx="0">
                  <c:v>Own Revenues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[ChartsforTranslaterPolicyPaperMay2017.xlsx]Figure6!$I$14:$M$14</c:f>
              <c:numCache>
                <c:formatCode>#,##0</c:formatCode>
                <c:ptCount val="5"/>
                <c:pt idx="0">
                  <c:v>151.01043312767675</c:v>
                </c:pt>
                <c:pt idx="1">
                  <c:v>1419.3171991129479</c:v>
                </c:pt>
                <c:pt idx="2">
                  <c:v>130.31046038426564</c:v>
                </c:pt>
                <c:pt idx="3">
                  <c:v>547.88116967589531</c:v>
                </c:pt>
                <c:pt idx="4">
                  <c:v>636.58647972254926</c:v>
                </c:pt>
              </c:numCache>
            </c:numRef>
          </c:val>
          <c:extLst xmlns:c16r2="http://schemas.microsoft.com/office/drawing/2015/06/chart">
            <c:ext xmlns:c16="http://schemas.microsoft.com/office/drawing/2014/chart" uri="{C3380CC4-5D6E-409C-BE32-E72D297353CC}">
              <c16:uniqueId val="{00000000-CAEE-4DFF-9868-1B787CBB4CF9}"/>
            </c:ext>
          </c:extLst>
        </c:ser>
        <c:ser>
          <c:idx val="0"/>
          <c:order val="1"/>
          <c:tx>
            <c:strRef>
              <c:f>[ChartsforTranslaterPolicyPaperMay2017.xlsx]Figure6!$H$13</c:f>
              <c:strCache>
                <c:ptCount val="1"/>
                <c:pt idx="0">
                  <c:v>Shared Taxes &amp; Environmental Fees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[ChartsforTranslaterPolicyPaperMay2017.xlsx]Figure6!$I$13:$M$13</c:f>
              <c:numCache>
                <c:formatCode>#,##0</c:formatCode>
                <c:ptCount val="5"/>
                <c:pt idx="0">
                  <c:v>588.52504072518286</c:v>
                </c:pt>
                <c:pt idx="1">
                  <c:v>3305.2033682354249</c:v>
                </c:pt>
                <c:pt idx="2">
                  <c:v>1047.5647850614096</c:v>
                </c:pt>
                <c:pt idx="3">
                  <c:v>633.86991737464677</c:v>
                </c:pt>
                <c:pt idx="4">
                  <c:v>1930.6285150070673</c:v>
                </c:pt>
              </c:numCache>
            </c:numRef>
          </c:val>
          <c:extLst xmlns:c16r2="http://schemas.microsoft.com/office/drawing/2015/06/chart">
            <c:ext xmlns:c16="http://schemas.microsoft.com/office/drawing/2014/chart" uri="{C3380CC4-5D6E-409C-BE32-E72D297353CC}">
              <c16:uniqueId val="{00000001-CAEE-4DFF-9868-1B787CBB4CF9}"/>
            </c:ext>
          </c:extLst>
        </c:ser>
        <c:ser>
          <c:idx val="2"/>
          <c:order val="2"/>
          <c:tx>
            <c:strRef>
              <c:f>[ChartsforTranslaterPolicyPaperMay2017.xlsx]Figure6!$H$15</c:f>
              <c:strCache>
                <c:ptCount val="1"/>
                <c:pt idx="0">
                  <c:v>Basic and Stabilization Grants</c:v>
                </c:pt>
              </c:strCache>
            </c:strRef>
          </c:tx>
          <c:spPr>
            <a:solidFill>
              <a:schemeClr val="accent3"/>
            </a:solidFill>
            <a:ln>
              <a:noFill/>
            </a:ln>
            <a:effectLst/>
          </c:spPr>
          <c:invertIfNegative val="0"/>
          <c:dLbls>
            <c:dLbl>
              <c:idx val="0"/>
              <c:layout>
                <c:manualLayout>
                  <c:x val="2.8754700287547001E-2"/>
                  <c:y val="-7.154388896604405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AEE-4DFF-9868-1B787CBB4CF9}"/>
                </c:ext>
                <c:ext xmlns:c15="http://schemas.microsoft.com/office/drawing/2012/chart" uri="{CE6537A1-D6FC-4f65-9D91-7224C49458BB}"/>
              </c:extLst>
            </c:dLbl>
            <c:dLbl>
              <c:idx val="4"/>
              <c:layout>
                <c:manualLayout>
                  <c:x val="2.8754700287547001E-2"/>
                  <c:y val="-7.154388896604405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EE-4DFF-9868-1B787CBB4CF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[ChartsforTranslaterPolicyPaperMay2017.xlsx]Figure6!$I$15:$M$15</c:f>
              <c:numCache>
                <c:formatCode>#,##0</c:formatCode>
                <c:ptCount val="5"/>
                <c:pt idx="0">
                  <c:v>41.362294950158308</c:v>
                </c:pt>
                <c:pt idx="1">
                  <c:v>46.454328169147885</c:v>
                </c:pt>
                <c:pt idx="2">
                  <c:v>235.1159822393779</c:v>
                </c:pt>
                <c:pt idx="3">
                  <c:v>1.638403402146503</c:v>
                </c:pt>
                <c:pt idx="4">
                  <c:v>218.2912383202011</c:v>
                </c:pt>
              </c:numCache>
            </c:numRef>
          </c:val>
          <c:extLst xmlns:c16r2="http://schemas.microsoft.com/office/drawing/2015/06/chart">
            <c:ext xmlns:c16="http://schemas.microsoft.com/office/drawing/2014/chart" uri="{C3380CC4-5D6E-409C-BE32-E72D297353CC}">
              <c16:uniqueId val="{00000004-CAEE-4DFF-9868-1B787CBB4CF9}"/>
            </c:ext>
          </c:extLst>
        </c:ser>
        <c:ser>
          <c:idx val="3"/>
          <c:order val="3"/>
          <c:tx>
            <c:strRef>
              <c:f>[ChartsforTranslaterPolicyPaperMay2017.xlsx]Figure6!$H$16</c:f>
              <c:strCache>
                <c:ptCount val="1"/>
                <c:pt idx="0">
                  <c:v>Transfers to Individuals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[ChartsforTranslaterPolicyPaperMay2017.xlsx]Figure6!$I$16:$M$16</c:f>
              <c:numCache>
                <c:formatCode>#,##0</c:formatCode>
                <c:ptCount val="5"/>
                <c:pt idx="1">
                  <c:v>964.02389057882931</c:v>
                </c:pt>
                <c:pt idx="2">
                  <c:v>1672.4985141459852</c:v>
                </c:pt>
                <c:pt idx="4">
                  <c:v>61.585151506406348</c:v>
                </c:pt>
              </c:numCache>
            </c:numRef>
          </c:val>
          <c:extLst xmlns:c16r2="http://schemas.microsoft.com/office/drawing/2015/06/chart">
            <c:ext xmlns:c16="http://schemas.microsoft.com/office/drawing/2014/chart" uri="{C3380CC4-5D6E-409C-BE32-E72D297353CC}">
              <c16:uniqueId val="{00000005-CAEE-4DFF-9868-1B787CBB4CF9}"/>
            </c:ext>
          </c:extLst>
        </c:ser>
        <c:ser>
          <c:idx val="4"/>
          <c:order val="4"/>
          <c:tx>
            <c:strRef>
              <c:f>[ChartsforTranslaterPolicyPaperMay2017.xlsx]Figure6!$H$17</c:f>
              <c:strCache>
                <c:ptCount val="1"/>
                <c:pt idx="0">
                  <c:v>Housing Subsidies</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[ChartsforTranslaterPolicyPaperMay2017.xlsx]Figure6!$I$17:$M$17</c:f>
              <c:numCache>
                <c:formatCode>#,##0</c:formatCode>
                <c:ptCount val="5"/>
                <c:pt idx="1">
                  <c:v>1026.8150922585289</c:v>
                </c:pt>
                <c:pt idx="2">
                  <c:v>1491.6460824828659</c:v>
                </c:pt>
                <c:pt idx="4">
                  <c:v>1220.2769049101507</c:v>
                </c:pt>
              </c:numCache>
            </c:numRef>
          </c:val>
          <c:extLst xmlns:c16r2="http://schemas.microsoft.com/office/drawing/2015/06/chart">
            <c:ext xmlns:c16="http://schemas.microsoft.com/office/drawing/2014/chart" uri="{C3380CC4-5D6E-409C-BE32-E72D297353CC}">
              <c16:uniqueId val="{00000006-CAEE-4DFF-9868-1B787CBB4CF9}"/>
            </c:ext>
          </c:extLst>
        </c:ser>
        <c:ser>
          <c:idx val="5"/>
          <c:order val="5"/>
          <c:tx>
            <c:strRef>
              <c:f>[ChartsforTranslaterPolicyPaperMay2017.xlsx]Figure6!$H$18</c:f>
              <c:strCache>
                <c:ptCount val="1"/>
                <c:pt idx="0">
                  <c:v>Education Subvention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[ChartsforTranslaterPolicyPaperMay2017.xlsx]Figure6!$I$18:$M$18</c:f>
              <c:numCache>
                <c:formatCode>#,##0</c:formatCode>
                <c:ptCount val="5"/>
                <c:pt idx="0">
                  <c:v>157.16436682239447</c:v>
                </c:pt>
                <c:pt idx="1">
                  <c:v>746.79130892117382</c:v>
                </c:pt>
                <c:pt idx="2">
                  <c:v>1288.6921050735541</c:v>
                </c:pt>
                <c:pt idx="4">
                  <c:v>213.75423300941461</c:v>
                </c:pt>
              </c:numCache>
            </c:numRef>
          </c:val>
          <c:extLst xmlns:c16r2="http://schemas.microsoft.com/office/drawing/2015/06/chart">
            <c:ext xmlns:c16="http://schemas.microsoft.com/office/drawing/2014/chart" uri="{C3380CC4-5D6E-409C-BE32-E72D297353CC}">
              <c16:uniqueId val="{00000007-CAEE-4DFF-9868-1B787CBB4CF9}"/>
            </c:ext>
          </c:extLst>
        </c:ser>
        <c:ser>
          <c:idx val="6"/>
          <c:order val="6"/>
          <c:tx>
            <c:strRef>
              <c:f>[ChartsforTranslaterPolicyPaperMay2017.xlsx]Figure6!$H$19</c:f>
              <c:strCache>
                <c:ptCount val="1"/>
                <c:pt idx="0">
                  <c:v>Health Subvention</c:v>
                </c:pt>
              </c:strCache>
            </c:strRef>
          </c:tx>
          <c:spPr>
            <a:solidFill>
              <a:schemeClr val="accent2">
                <a:lumMod val="20000"/>
                <a:lumOff val="80000"/>
              </a:schemeClr>
            </a:solidFill>
            <a:ln>
              <a:noFill/>
            </a:ln>
            <a:effectLst/>
          </c:spPr>
          <c:invertIfNegative val="0"/>
          <c:dLbls>
            <c:dLbl>
              <c:idx val="4"/>
              <c:layout>
                <c:manualLayout>
                  <c:x val="4.5343950453439502E-2"/>
                  <c:y val="1.3496788511141887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AEE-4DFF-9868-1B787CBB4CF9}"/>
                </c:ext>
                <c:ext xmlns:c15="http://schemas.microsoft.com/office/drawing/2012/chart" uri="{CE6537A1-D6FC-4f65-9D91-7224C49458BB}">
                  <c15:layout>
                    <c:manualLayout>
                      <c:w val="4.2291528422915281E-2"/>
                      <c:h val="6.474545803725752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[ChartsforTranslaterPolicyPaperMay2017.xlsx]Figure6!$I$19:$M$19</c:f>
              <c:numCache>
                <c:formatCode>#,##0</c:formatCode>
                <c:ptCount val="5"/>
                <c:pt idx="0">
                  <c:v>486.26453565217588</c:v>
                </c:pt>
                <c:pt idx="1">
                  <c:v>731.26129120792029</c:v>
                </c:pt>
                <c:pt idx="2">
                  <c:v>695.40243714089229</c:v>
                </c:pt>
                <c:pt idx="4">
                  <c:v>61.815233199162797</c:v>
                </c:pt>
              </c:numCache>
            </c:numRef>
          </c:val>
          <c:extLst xmlns:c16r2="http://schemas.microsoft.com/office/drawing/2015/06/chart">
            <c:ext xmlns:c16="http://schemas.microsoft.com/office/drawing/2014/chart" uri="{C3380CC4-5D6E-409C-BE32-E72D297353CC}">
              <c16:uniqueId val="{00000009-CAEE-4DFF-9868-1B787CBB4CF9}"/>
            </c:ext>
          </c:extLst>
        </c:ser>
        <c:ser>
          <c:idx val="7"/>
          <c:order val="7"/>
          <c:tx>
            <c:strRef>
              <c:f>[ChartsforTranslaterPolicyPaperMay2017.xlsx]Figure6!$H$20</c:f>
              <c:strCache>
                <c:ptCount val="1"/>
                <c:pt idx="0">
                  <c:v>Investment Grants/Other</c:v>
                </c:pt>
              </c:strCache>
            </c:strRef>
          </c:tx>
          <c:spPr>
            <a:solidFill>
              <a:srgbClr val="FF0000"/>
            </a:solidFill>
            <a:ln>
              <a:noFill/>
            </a:ln>
            <a:effectLst/>
          </c:spPr>
          <c:invertIfNegative val="0"/>
          <c:dLbls>
            <c:dLbl>
              <c:idx val="0"/>
              <c:layout>
                <c:manualLayout>
                  <c:x val="-2.0275515978266745E-17"/>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AEE-4DFF-9868-1B787CBB4CF9}"/>
                </c:ext>
                <c:ext xmlns:c15="http://schemas.microsoft.com/office/drawing/2012/chart" uri="{CE6537A1-D6FC-4f65-9D91-7224C49458BB}"/>
              </c:extLst>
            </c:dLbl>
            <c:dLbl>
              <c:idx val="1"/>
              <c:layout>
                <c:manualLayout>
                  <c:x val="-2.2119000221190407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AEE-4DFF-9868-1B787CBB4CF9}"/>
                </c:ext>
                <c:ext xmlns:c15="http://schemas.microsoft.com/office/drawing/2012/chart" uri="{CE6537A1-D6FC-4f65-9D91-7224C49458BB}"/>
              </c:extLst>
            </c:dLbl>
            <c:dLbl>
              <c:idx val="2"/>
              <c:layout>
                <c:manualLayout>
                  <c:x val="0"/>
                  <c:y val="-1.3888888888888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AEE-4DFF-9868-1B787CBB4CF9}"/>
                </c:ext>
                <c:ext xmlns:c15="http://schemas.microsoft.com/office/drawing/2012/chart" uri="{CE6537A1-D6FC-4f65-9D91-7224C49458BB}"/>
              </c:extLst>
            </c:dLbl>
            <c:dLbl>
              <c:idx val="3"/>
              <c:layout>
                <c:manualLayout>
                  <c:x val="-8.1102063913066978E-17"/>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AEE-4DFF-9868-1B787CBB4CF9}"/>
                </c:ext>
                <c:ext xmlns:c15="http://schemas.microsoft.com/office/drawing/2012/chart" uri="{CE6537A1-D6FC-4f65-9D91-7224C49458BB}"/>
              </c:extLst>
            </c:dLbl>
            <c:dLbl>
              <c:idx val="4"/>
              <c:layout>
                <c:manualLayout>
                  <c:x val="0"/>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AEE-4DFF-9868-1B787CBB4CF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[ChartsforTranslaterPolicyPaperMay2017.xlsx]Figure6!$I$12:$M$12</c:f>
              <c:strCache>
                <c:ptCount val="5"/>
                <c:pt idx="0">
                  <c:v>Oblast</c:v>
                </c:pt>
                <c:pt idx="1">
                  <c:v>COS</c:v>
                </c:pt>
                <c:pt idx="2">
                  <c:v>Rayon</c:v>
                </c:pt>
                <c:pt idx="3">
                  <c:v>Gromada</c:v>
                </c:pt>
                <c:pt idx="4">
                  <c:v>AG</c:v>
                </c:pt>
              </c:strCache>
            </c:strRef>
          </c:cat>
          <c:val>
            <c:numRef>
              <c:f>[ChartsforTranslaterPolicyPaperMay2017.xlsx]Figure6!$I$20:$M$20</c:f>
              <c:numCache>
                <c:formatCode>#,##0</c:formatCode>
                <c:ptCount val="5"/>
                <c:pt idx="0">
                  <c:v>67.308445153893857</c:v>
                </c:pt>
                <c:pt idx="1">
                  <c:v>196.37428718508528</c:v>
                </c:pt>
                <c:pt idx="2">
                  <c:v>52.152239813620596</c:v>
                </c:pt>
                <c:pt idx="3">
                  <c:v>53.699905873219727</c:v>
                </c:pt>
                <c:pt idx="4">
                  <c:v>747.94907021911956</c:v>
                </c:pt>
              </c:numCache>
            </c:numRef>
          </c:val>
          <c:extLst xmlns:c16r2="http://schemas.microsoft.com/office/drawing/2015/06/chart">
            <c:ext xmlns:c16="http://schemas.microsoft.com/office/drawing/2014/chart" uri="{C3380CC4-5D6E-409C-BE32-E72D297353CC}">
              <c16:uniqueId val="{0000000F-CAEE-4DFF-9868-1B787CBB4CF9}"/>
            </c:ext>
          </c:extLst>
        </c:ser>
        <c:dLbls>
          <c:showLegendKey val="0"/>
          <c:showVal val="0"/>
          <c:showCatName val="0"/>
          <c:showSerName val="0"/>
          <c:showPercent val="0"/>
          <c:showBubbleSize val="0"/>
        </c:dLbls>
        <c:gapWidth val="219"/>
        <c:overlap val="100"/>
        <c:axId val="472920192"/>
        <c:axId val="472920584"/>
      </c:barChart>
      <c:catAx>
        <c:axId val="47292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920584"/>
        <c:crosses val="autoZero"/>
        <c:auto val="1"/>
        <c:lblAlgn val="ctr"/>
        <c:lblOffset val="100"/>
        <c:noMultiLvlLbl val="0"/>
      </c:catAx>
      <c:valAx>
        <c:axId val="472920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920192"/>
        <c:crosses val="autoZero"/>
        <c:crossBetween val="between"/>
      </c:valAx>
      <c:spPr>
        <a:noFill/>
        <a:ln>
          <a:noFill/>
        </a:ln>
        <a:effectLst/>
      </c:spPr>
    </c:plotArea>
    <c:legend>
      <c:legendPos val="b"/>
      <c:layout>
        <c:manualLayout>
          <c:xMode val="edge"/>
          <c:yMode val="edge"/>
          <c:x val="5.5031027558184262E-3"/>
          <c:y val="0.80097376608411752"/>
          <c:w val="0.9735104943335301"/>
          <c:h val="0.17951403879393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29ED-6DA5-46AE-B001-404CB516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21</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tonylev</dc:creator>
  <cp:keywords/>
  <dc:description/>
  <cp:lastModifiedBy>tonylev</cp:lastModifiedBy>
  <cp:revision>13</cp:revision>
  <dcterms:created xsi:type="dcterms:W3CDTF">2017-10-29T14:18:00Z</dcterms:created>
  <dcterms:modified xsi:type="dcterms:W3CDTF">2017-10-30T13:59:00Z</dcterms:modified>
</cp:coreProperties>
</file>